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A58" w:rsidRDefault="00181322">
      <w:pPr>
        <w:rPr>
          <w:rFonts w:ascii="微軟正黑體" w:eastAsia="微軟正黑體" w:hAnsi="微軟正黑體" w:cs="微軟正黑體"/>
          <w:b/>
          <w:sz w:val="28"/>
          <w:szCs w:val="28"/>
        </w:rPr>
      </w:pPr>
      <w:r>
        <w:rPr>
          <w:rFonts w:ascii="微軟正黑體" w:eastAsia="微軟正黑體" w:hAnsi="微軟正黑體" w:cs="微軟正黑體"/>
          <w:b/>
          <w:sz w:val="28"/>
          <w:szCs w:val="28"/>
        </w:rPr>
        <w:t>大師講堂-失智症研究前沿系列講座 課程表</w:t>
      </w:r>
    </w:p>
    <w:p w:rsidR="00180A58" w:rsidRDefault="00181322">
      <w:pPr>
        <w:rPr>
          <w:rFonts w:ascii="微軟正黑體" w:eastAsia="微軟正黑體" w:hAnsi="微軟正黑體" w:cs="微軟正黑體"/>
          <w:b/>
          <w:sz w:val="28"/>
          <w:szCs w:val="28"/>
        </w:rPr>
      </w:pPr>
      <w:r>
        <w:rPr>
          <w:rFonts w:ascii="微軟正黑體" w:eastAsia="微軟正黑體" w:hAnsi="微軟正黑體" w:cs="微軟正黑體"/>
          <w:b/>
          <w:sz w:val="28"/>
          <w:szCs w:val="28"/>
        </w:rPr>
        <w:t>Frontiers in Dementia Research—Master Lectures</w:t>
      </w:r>
    </w:p>
    <w:tbl>
      <w:tblPr>
        <w:tblStyle w:val="ae"/>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6883"/>
      </w:tblGrid>
      <w:tr w:rsidR="00180A58">
        <w:tc>
          <w:tcPr>
            <w:tcW w:w="1413" w:type="dxa"/>
          </w:tcPr>
          <w:p w:rsidR="00180A58" w:rsidRDefault="00181322">
            <w:pPr>
              <w:pBdr>
                <w:top w:val="nil"/>
                <w:left w:val="nil"/>
                <w:bottom w:val="nil"/>
                <w:right w:val="nil"/>
                <w:between w:val="nil"/>
              </w:pBdr>
              <w:rPr>
                <w:color w:val="000000"/>
              </w:rPr>
            </w:pPr>
            <w:r>
              <w:rPr>
                <w:rFonts w:eastAsia="Calibri"/>
                <w:color w:val="000000"/>
              </w:rPr>
              <w:t>課程時間</w:t>
            </w:r>
          </w:p>
        </w:tc>
        <w:tc>
          <w:tcPr>
            <w:tcW w:w="6883" w:type="dxa"/>
            <w:tcBorders>
              <w:bottom w:val="single" w:sz="7" w:space="0" w:color="000000"/>
            </w:tcBorders>
          </w:tcPr>
          <w:p w:rsidR="00180A58" w:rsidRDefault="00181322" w:rsidP="000571D1">
            <w:pPr>
              <w:pBdr>
                <w:top w:val="nil"/>
                <w:left w:val="nil"/>
                <w:bottom w:val="nil"/>
                <w:right w:val="nil"/>
                <w:between w:val="nil"/>
              </w:pBdr>
              <w:rPr>
                <w:color w:val="000000"/>
              </w:rPr>
            </w:pPr>
            <w:r>
              <w:rPr>
                <w:rFonts w:eastAsia="Calibri"/>
                <w:color w:val="000000"/>
              </w:rPr>
              <w:t>11</w:t>
            </w:r>
            <w:r w:rsidR="000571D1">
              <w:rPr>
                <w:rFonts w:eastAsia="Calibri"/>
                <w:color w:val="000000"/>
              </w:rPr>
              <w:t>3</w:t>
            </w:r>
            <w:r>
              <w:rPr>
                <w:rFonts w:ascii="細明體" w:eastAsia="細明體" w:hAnsi="細明體" w:cs="細明體" w:hint="eastAsia"/>
                <w:color w:val="000000"/>
              </w:rPr>
              <w:t>年</w:t>
            </w:r>
            <w:r w:rsidR="000571D1">
              <w:rPr>
                <w:rFonts w:hint="eastAsia"/>
              </w:rPr>
              <w:t>01</w:t>
            </w:r>
            <w:r>
              <w:rPr>
                <w:rFonts w:ascii="細明體" w:eastAsia="細明體" w:hAnsi="細明體" w:cs="細明體" w:hint="eastAsia"/>
                <w:color w:val="000000"/>
              </w:rPr>
              <w:t>月</w:t>
            </w:r>
            <w:r w:rsidR="00330F3A">
              <w:rPr>
                <w:rFonts w:hint="eastAsia"/>
              </w:rPr>
              <w:t>1</w:t>
            </w:r>
            <w:r w:rsidR="000571D1">
              <w:rPr>
                <w:rFonts w:hint="eastAsia"/>
              </w:rPr>
              <w:t>2</w:t>
            </w:r>
            <w:r>
              <w:rPr>
                <w:rFonts w:ascii="細明體" w:eastAsia="細明體" w:hAnsi="細明體" w:cs="細明體" w:hint="eastAsia"/>
                <w:color w:val="000000"/>
              </w:rPr>
              <w:t>日</w:t>
            </w:r>
            <w:r>
              <w:rPr>
                <w:rFonts w:eastAsia="Calibri"/>
                <w:color w:val="000000"/>
              </w:rPr>
              <w:t xml:space="preserve"> 12</w:t>
            </w:r>
            <w:r>
              <w:rPr>
                <w:rFonts w:ascii="細明體" w:eastAsia="細明體" w:hAnsi="細明體" w:cs="細明體" w:hint="eastAsia"/>
                <w:color w:val="000000"/>
              </w:rPr>
              <w:t>：</w:t>
            </w:r>
            <w:r>
              <w:rPr>
                <w:rFonts w:eastAsia="Calibri"/>
                <w:color w:val="000000"/>
              </w:rPr>
              <w:t>30~13</w:t>
            </w:r>
            <w:r>
              <w:rPr>
                <w:rFonts w:ascii="細明體" w:eastAsia="細明體" w:hAnsi="細明體" w:cs="細明體" w:hint="eastAsia"/>
                <w:color w:val="000000"/>
              </w:rPr>
              <w:t>：</w:t>
            </w:r>
            <w:r>
              <w:rPr>
                <w:rFonts w:eastAsia="Calibri"/>
                <w:color w:val="000000"/>
              </w:rPr>
              <w:t>30</w:t>
            </w:r>
          </w:p>
        </w:tc>
      </w:tr>
      <w:tr w:rsidR="00180A58">
        <w:tc>
          <w:tcPr>
            <w:tcW w:w="1413" w:type="dxa"/>
            <w:tcBorders>
              <w:right w:val="single" w:sz="7" w:space="0" w:color="000000"/>
            </w:tcBorders>
          </w:tcPr>
          <w:p w:rsidR="00180A58" w:rsidRDefault="00181322">
            <w:pPr>
              <w:pBdr>
                <w:top w:val="nil"/>
                <w:left w:val="nil"/>
                <w:bottom w:val="nil"/>
                <w:right w:val="nil"/>
                <w:between w:val="nil"/>
              </w:pBdr>
              <w:rPr>
                <w:color w:val="000000"/>
              </w:rPr>
            </w:pPr>
            <w:r>
              <w:rPr>
                <w:rFonts w:eastAsia="Calibri"/>
                <w:color w:val="000000"/>
              </w:rPr>
              <w:t>課程地點</w:t>
            </w:r>
          </w:p>
        </w:tc>
        <w:tc>
          <w:tcPr>
            <w:tcW w:w="6883" w:type="dxa"/>
            <w:tcBorders>
              <w:top w:val="single" w:sz="7" w:space="0" w:color="000000"/>
              <w:left w:val="single" w:sz="7" w:space="0" w:color="000000"/>
              <w:bottom w:val="single" w:sz="7" w:space="0" w:color="000000"/>
              <w:right w:val="single" w:sz="7" w:space="0" w:color="000000"/>
            </w:tcBorders>
            <w:tcMar>
              <w:top w:w="160" w:type="dxa"/>
              <w:left w:w="160" w:type="dxa"/>
              <w:bottom w:w="160" w:type="dxa"/>
              <w:right w:w="160" w:type="dxa"/>
            </w:tcMar>
          </w:tcPr>
          <w:p w:rsidR="00180A58" w:rsidRDefault="00181322">
            <w:pPr>
              <w:rPr>
                <w:color w:val="0563C1"/>
                <w:u w:val="single"/>
              </w:rPr>
            </w:pPr>
            <w:proofErr w:type="spellStart"/>
            <w:r>
              <w:rPr>
                <w:b/>
                <w:color w:val="222222"/>
              </w:rPr>
              <w:t>Webex</w:t>
            </w:r>
            <w:proofErr w:type="spellEnd"/>
            <w:r>
              <w:rPr>
                <w:b/>
                <w:color w:val="222222"/>
              </w:rPr>
              <w:t xml:space="preserve"> meeting room</w:t>
            </w:r>
            <w:r>
              <w:rPr>
                <w:color w:val="222222"/>
              </w:rPr>
              <w:t>：</w:t>
            </w:r>
            <w:r>
              <w:fldChar w:fldCharType="begin"/>
            </w:r>
            <w:r>
              <w:instrText xml:space="preserve"> HYPERLINK "https://taipeimedicaluniversityshuanghohospitalministryofhealth.my.webex.com/meet/pr1585279471" \h </w:instrText>
            </w:r>
            <w:r>
              <w:fldChar w:fldCharType="separate"/>
            </w:r>
            <w:r>
              <w:rPr>
                <w:color w:val="0563C1"/>
                <w:u w:val="single"/>
              </w:rPr>
              <w:t>https://taipeimedicaluniversityshuanghohospitalministryofhealth.my.webex.com/meet/pr1585279471</w:t>
            </w:r>
            <w:r>
              <w:rPr>
                <w:color w:val="0563C1"/>
                <w:u w:val="single"/>
              </w:rPr>
              <w:fldChar w:fldCharType="end"/>
            </w:r>
          </w:p>
          <w:p w:rsidR="00180A58" w:rsidRDefault="00181322">
            <w:pPr>
              <w:rPr>
                <w:color w:val="222222"/>
              </w:rPr>
            </w:pPr>
            <w:r>
              <w:rPr>
                <w:b/>
                <w:color w:val="222222"/>
              </w:rPr>
              <w:t>meeting room number</w:t>
            </w:r>
            <w:r>
              <w:rPr>
                <w:color w:val="222222"/>
              </w:rPr>
              <w:t>：</w:t>
            </w:r>
            <w:r>
              <w:rPr>
                <w:color w:val="222222"/>
              </w:rPr>
              <w:t>1585 27 9471</w:t>
            </w:r>
          </w:p>
        </w:tc>
      </w:tr>
      <w:tr w:rsidR="00180A58">
        <w:tc>
          <w:tcPr>
            <w:tcW w:w="1413" w:type="dxa"/>
          </w:tcPr>
          <w:p w:rsidR="00180A58" w:rsidRDefault="00181322">
            <w:pPr>
              <w:pBdr>
                <w:top w:val="nil"/>
                <w:left w:val="nil"/>
                <w:bottom w:val="nil"/>
                <w:right w:val="nil"/>
                <w:between w:val="nil"/>
              </w:pBdr>
              <w:rPr>
                <w:color w:val="000000"/>
              </w:rPr>
            </w:pPr>
            <w:r>
              <w:rPr>
                <w:rFonts w:eastAsia="Calibri"/>
                <w:color w:val="000000"/>
              </w:rPr>
              <w:t>主題</w:t>
            </w:r>
          </w:p>
        </w:tc>
        <w:tc>
          <w:tcPr>
            <w:tcW w:w="6883" w:type="dxa"/>
            <w:tcBorders>
              <w:top w:val="single" w:sz="7" w:space="0" w:color="000000"/>
            </w:tcBorders>
          </w:tcPr>
          <w:p w:rsidR="00180A58" w:rsidRPr="000571D1" w:rsidRDefault="000571D1">
            <w:pPr>
              <w:pBdr>
                <w:top w:val="nil"/>
                <w:left w:val="nil"/>
                <w:bottom w:val="nil"/>
                <w:right w:val="nil"/>
                <w:between w:val="nil"/>
              </w:pBdr>
              <w:rPr>
                <w:highlight w:val="white"/>
              </w:rPr>
            </w:pPr>
            <w:r w:rsidRPr="000571D1">
              <w:rPr>
                <w:highlight w:val="white"/>
              </w:rPr>
              <w:t>Neuropsychiatric symptoms in mild cognitive impairment and Alzheimer’s disease</w:t>
            </w:r>
          </w:p>
        </w:tc>
      </w:tr>
      <w:tr w:rsidR="00180A58">
        <w:tc>
          <w:tcPr>
            <w:tcW w:w="1413" w:type="dxa"/>
          </w:tcPr>
          <w:p w:rsidR="00180A58" w:rsidRDefault="00181322">
            <w:pPr>
              <w:pBdr>
                <w:top w:val="nil"/>
                <w:left w:val="nil"/>
                <w:bottom w:val="nil"/>
                <w:right w:val="nil"/>
                <w:between w:val="nil"/>
              </w:pBdr>
              <w:rPr>
                <w:highlight w:val="white"/>
              </w:rPr>
            </w:pPr>
            <w:r>
              <w:rPr>
                <w:highlight w:val="white"/>
              </w:rPr>
              <w:t>講師</w:t>
            </w:r>
          </w:p>
        </w:tc>
        <w:tc>
          <w:tcPr>
            <w:tcW w:w="6883" w:type="dxa"/>
          </w:tcPr>
          <w:p w:rsidR="00180A58" w:rsidRDefault="00181322">
            <w:pPr>
              <w:pBdr>
                <w:top w:val="nil"/>
                <w:left w:val="nil"/>
                <w:bottom w:val="nil"/>
                <w:right w:val="nil"/>
                <w:between w:val="nil"/>
              </w:pBdr>
              <w:rPr>
                <w:highlight w:val="white"/>
              </w:rPr>
            </w:pPr>
            <w:r>
              <w:rPr>
                <w:highlight w:val="white"/>
              </w:rPr>
              <w:t xml:space="preserve">Prof.  </w:t>
            </w:r>
            <w:r w:rsidR="000571D1" w:rsidRPr="000571D1">
              <w:rPr>
                <w:highlight w:val="white"/>
              </w:rPr>
              <w:t xml:space="preserve">Jong-Ling </w:t>
            </w:r>
            <w:proofErr w:type="spellStart"/>
            <w:r w:rsidR="000571D1" w:rsidRPr="000571D1">
              <w:rPr>
                <w:highlight w:val="white"/>
              </w:rPr>
              <w:t>Fuh</w:t>
            </w:r>
            <w:proofErr w:type="spellEnd"/>
          </w:p>
        </w:tc>
      </w:tr>
      <w:tr w:rsidR="00180A58">
        <w:trPr>
          <w:trHeight w:val="652"/>
        </w:trPr>
        <w:tc>
          <w:tcPr>
            <w:tcW w:w="1413" w:type="dxa"/>
          </w:tcPr>
          <w:p w:rsidR="00180A58" w:rsidRDefault="00181322">
            <w:pPr>
              <w:pBdr>
                <w:top w:val="nil"/>
                <w:left w:val="nil"/>
                <w:bottom w:val="nil"/>
                <w:right w:val="nil"/>
                <w:between w:val="nil"/>
              </w:pBdr>
              <w:rPr>
                <w:color w:val="000000"/>
              </w:rPr>
            </w:pPr>
            <w:r>
              <w:rPr>
                <w:rFonts w:eastAsia="Calibri"/>
                <w:color w:val="000000"/>
              </w:rPr>
              <w:t>講師簡歷</w:t>
            </w:r>
          </w:p>
        </w:tc>
        <w:tc>
          <w:tcPr>
            <w:tcW w:w="6883" w:type="dxa"/>
          </w:tcPr>
          <w:p w:rsidR="00180A58" w:rsidRDefault="00181322">
            <w:pPr>
              <w:pBdr>
                <w:top w:val="nil"/>
                <w:left w:val="nil"/>
                <w:bottom w:val="nil"/>
                <w:right w:val="nil"/>
                <w:between w:val="nil"/>
              </w:pBdr>
              <w:rPr>
                <w:b/>
              </w:rPr>
            </w:pPr>
            <w:r>
              <w:rPr>
                <w:b/>
              </w:rPr>
              <w:t xml:space="preserve">Affiliation(s): </w:t>
            </w:r>
          </w:p>
          <w:p w:rsidR="000571D1" w:rsidRDefault="000571D1" w:rsidP="000571D1">
            <w:pPr>
              <w:pBdr>
                <w:top w:val="nil"/>
                <w:left w:val="nil"/>
                <w:bottom w:val="nil"/>
                <w:right w:val="nil"/>
                <w:between w:val="nil"/>
              </w:pBdr>
            </w:pPr>
            <w:r>
              <w:t xml:space="preserve">Dr. Jong-Ling </w:t>
            </w:r>
            <w:proofErr w:type="spellStart"/>
            <w:r>
              <w:t>Fuh</w:t>
            </w:r>
            <w:proofErr w:type="spellEnd"/>
            <w:r>
              <w:t xml:space="preserve"> is Chief of the Department of Neurology at Taipei Veterans General Hospital and Professor at National Yang-Ming University School of Medicine. Additionally, she is a fellow of the American Academy of Neurology. She obtained her medical qualification from the National Yang-Ming University and completed a Behavioral Neurology Fellowship at UCLA, Los Angeles, USA. Her experience includes serving as a Diplomat of the Taiwan Board of Neurology and Chief Resident of the Neurological Institute at Taipei Veterans General Hospital. In 2020, 2021, and 2022, Dr. </w:t>
            </w:r>
            <w:proofErr w:type="spellStart"/>
            <w:r>
              <w:t>Fuh</w:t>
            </w:r>
            <w:proofErr w:type="spellEnd"/>
            <w:r>
              <w:t xml:space="preserve"> was listed among Stanford University's Top 2% Scientists. </w:t>
            </w:r>
            <w:proofErr w:type="spellStart"/>
            <w:r>
              <w:t>Fuh</w:t>
            </w:r>
            <w:proofErr w:type="spellEnd"/>
            <w:r>
              <w:t xml:space="preserve"> received outstanding clinical teaching awards from the Veterans Affairs Commission of the Executive Yuan of Taiwan in 2017 and 2021, and outstanding physician awards from the Veterans Affairs Commission of the Executive Yuan of Taiwan in 2015 and 2010. She also obtained the first place of poster award, 16th/17th Veterans General Hospitals and University System of Taiwan Joint Research Program in 2021, the Best Poster of the 2nd Asian Society against Dementia Congress &amp; 3rd Taiwan Dementia Society Annual Meeting in 2008, and the Millennium Best Essay award by the </w:t>
            </w:r>
            <w:proofErr w:type="spellStart"/>
            <w:r>
              <w:t>erebrovascular</w:t>
            </w:r>
            <w:proofErr w:type="spellEnd"/>
            <w:r>
              <w:t xml:space="preserve"> Disease Prevention Foundation in 2000.Specifically, she is interested in the epidemiology of dementia and biomarker studies of Alzheimer's disease, and Parkinson's disease with dementia. Her publications cover a variety of topics related to dementia and neuropsychology. So far, she has published almost 400 papers. </w:t>
            </w:r>
          </w:p>
          <w:p w:rsidR="00180A58" w:rsidRDefault="000571D1" w:rsidP="000571D1">
            <w:pPr>
              <w:pBdr>
                <w:top w:val="nil"/>
                <w:left w:val="nil"/>
                <w:bottom w:val="nil"/>
                <w:right w:val="nil"/>
                <w:between w:val="nil"/>
              </w:pBdr>
            </w:pPr>
            <w:proofErr w:type="spellStart"/>
            <w:r>
              <w:t>SH</w:t>
            </w:r>
            <w:r>
              <w:t>e</w:t>
            </w:r>
            <w:proofErr w:type="spellEnd"/>
            <w:r>
              <w:t xml:space="preserve"> is currently a board member of the Asian Society against Dementia Congress, supervisor of the Taiwan Headache Society, and editor of The Journal of Headache and Pain and Journal of the Chinese Medical Association.  </w:t>
            </w:r>
            <w:proofErr w:type="spellStart"/>
            <w:r>
              <w:t>Dr</w:t>
            </w:r>
            <w:proofErr w:type="spellEnd"/>
            <w:r>
              <w:t xml:space="preserve"> </w:t>
            </w:r>
            <w:proofErr w:type="spellStart"/>
            <w:r>
              <w:t>Fuh</w:t>
            </w:r>
            <w:proofErr w:type="spellEnd"/>
            <w:r>
              <w:t xml:space="preserve"> was the former President of the Taiwan Dementia Society. Currently, she is the Executive Director of the Taiwan Dementia Society.</w:t>
            </w:r>
          </w:p>
        </w:tc>
      </w:tr>
      <w:tr w:rsidR="00180A58">
        <w:tc>
          <w:tcPr>
            <w:tcW w:w="1413" w:type="dxa"/>
          </w:tcPr>
          <w:p w:rsidR="00180A58" w:rsidRDefault="00181322">
            <w:pPr>
              <w:pBdr>
                <w:top w:val="nil"/>
                <w:left w:val="nil"/>
                <w:bottom w:val="nil"/>
                <w:right w:val="nil"/>
                <w:between w:val="nil"/>
              </w:pBdr>
              <w:rPr>
                <w:color w:val="000000"/>
              </w:rPr>
            </w:pPr>
            <w:r>
              <w:rPr>
                <w:rFonts w:eastAsia="Calibri"/>
                <w:color w:val="000000"/>
              </w:rPr>
              <w:t>課程摘要</w:t>
            </w:r>
          </w:p>
        </w:tc>
        <w:tc>
          <w:tcPr>
            <w:tcW w:w="6883" w:type="dxa"/>
          </w:tcPr>
          <w:p w:rsidR="00180A58" w:rsidRDefault="000571D1">
            <w:r w:rsidRPr="000571D1">
              <w:t xml:space="preserve">Individuals with Alzheimer's disease (AD) often experience neuropsychiatric symptoms, referred to as Behavioral and Psychological Symptoms of Dementia (BPSD). In addition to </w:t>
            </w:r>
            <w:r w:rsidRPr="000571D1">
              <w:lastRenderedPageBreak/>
              <w:t>affecting quality of life, these symptoms are often viewed as more burdensome than the cognitive symptoms. In AD and dementia, neuropsychiatric symptoms often appear in clusters, including delusions, hallucinations, agitation, aggressiveness, depression, anxiety, and apathy. As the disease progresses, these symptoms can manifest at different stages, from the prodromal stage to severe dementia, and their causal mechanisms are complex, involving functional, neurochemical, structural changes of the brain, psychological, psychosocial factors, and premorbid personality traits. Symptoms of depression are more prevalent in mild cognitive impairment (MCI), and become more severe with moderate and severe dementia. While anxiety is common in MCI, it remains relatively stable over the course of the condition. As cognitive function declines, frontal lobe symptoms, psychosis, agitation, and activity disturbances tend to worsen linearly. In terms of neuropsychiatric symptoms, pure AD and mixed vascular-AD dementia are not significantly different. Despite frequent pharmacotherapy, neuropsychiatric symptoms are prevalent in moderate and severe dementia, highlighting the need for new therapeutic options.</w:t>
            </w:r>
          </w:p>
        </w:tc>
      </w:tr>
      <w:tr w:rsidR="00180A58">
        <w:trPr>
          <w:trHeight w:val="1467"/>
        </w:trPr>
        <w:tc>
          <w:tcPr>
            <w:tcW w:w="1413" w:type="dxa"/>
          </w:tcPr>
          <w:p w:rsidR="00180A58" w:rsidRDefault="00181322">
            <w:pPr>
              <w:pBdr>
                <w:top w:val="nil"/>
                <w:left w:val="nil"/>
                <w:bottom w:val="nil"/>
                <w:right w:val="nil"/>
                <w:between w:val="nil"/>
              </w:pBdr>
              <w:rPr>
                <w:color w:val="000000"/>
              </w:rPr>
            </w:pPr>
            <w:r>
              <w:rPr>
                <w:rFonts w:eastAsia="Calibri"/>
                <w:color w:val="000000"/>
              </w:rPr>
              <w:lastRenderedPageBreak/>
              <w:t>課程形式</w:t>
            </w:r>
          </w:p>
        </w:tc>
        <w:tc>
          <w:tcPr>
            <w:tcW w:w="6883" w:type="dxa"/>
          </w:tcPr>
          <w:p w:rsidR="00180A58" w:rsidRDefault="00181322">
            <w:pPr>
              <w:pBdr>
                <w:top w:val="nil"/>
                <w:left w:val="nil"/>
                <w:bottom w:val="nil"/>
                <w:right w:val="nil"/>
                <w:between w:val="nil"/>
              </w:pBdr>
              <w:rPr>
                <w:color w:val="000000"/>
              </w:rPr>
            </w:pPr>
            <w:r>
              <w:rPr>
                <w:rFonts w:eastAsia="Calibri"/>
                <w:color w:val="000000"/>
              </w:rPr>
              <w:t>課程時長1小時 (12:30~13:30)</w:t>
            </w:r>
          </w:p>
          <w:p w:rsidR="00180A58" w:rsidRDefault="00181322">
            <w:pPr>
              <w:pBdr>
                <w:top w:val="nil"/>
                <w:left w:val="nil"/>
                <w:bottom w:val="nil"/>
                <w:right w:val="nil"/>
                <w:between w:val="nil"/>
              </w:pBdr>
            </w:pPr>
            <w:r>
              <w:t xml:space="preserve">Date: </w:t>
            </w:r>
            <w:r w:rsidR="000C3AA4">
              <w:t>January</w:t>
            </w:r>
            <w:r>
              <w:t xml:space="preserve"> </w:t>
            </w:r>
            <w:r w:rsidR="000C3AA4">
              <w:t>12th, 2024</w:t>
            </w:r>
          </w:p>
          <w:p w:rsidR="00180A58" w:rsidRDefault="00181322">
            <w:pPr>
              <w:pBdr>
                <w:top w:val="nil"/>
                <w:left w:val="nil"/>
                <w:bottom w:val="nil"/>
                <w:right w:val="nil"/>
                <w:between w:val="nil"/>
              </w:pBdr>
            </w:pPr>
            <w:r>
              <w:t>Agenda:</w:t>
            </w:r>
          </w:p>
          <w:p w:rsidR="00180A58" w:rsidRDefault="00181322">
            <w:pPr>
              <w:pBdr>
                <w:top w:val="nil"/>
                <w:left w:val="nil"/>
                <w:bottom w:val="nil"/>
                <w:right w:val="nil"/>
                <w:between w:val="nil"/>
              </w:pBdr>
            </w:pPr>
            <w:r>
              <w:t xml:space="preserve">12:30-12:35: Opening (online meeting room </w:t>
            </w:r>
            <w:bookmarkStart w:id="0" w:name="_GoBack"/>
            <w:bookmarkEnd w:id="0"/>
            <w:r>
              <w:t>opens at 12:20 p.m.)</w:t>
            </w:r>
          </w:p>
          <w:p w:rsidR="00180A58" w:rsidRDefault="00181322">
            <w:pPr>
              <w:pBdr>
                <w:top w:val="nil"/>
                <w:left w:val="nil"/>
                <w:bottom w:val="nil"/>
                <w:right w:val="nil"/>
                <w:between w:val="nil"/>
              </w:pBdr>
            </w:pPr>
            <w:r>
              <w:t xml:space="preserve">12:35-13:15: </w:t>
            </w:r>
            <w:r w:rsidR="000C3AA4" w:rsidRPr="000C3AA4">
              <w:rPr>
                <w:color w:val="1F1F1F"/>
              </w:rPr>
              <w:t>Neuropsychiatric symptoms in mild cognitive impairment and Alzheimer’s disease</w:t>
            </w:r>
            <w:r>
              <w:t>13:15-13:30: Q&amp;A session</w:t>
            </w:r>
          </w:p>
        </w:tc>
      </w:tr>
      <w:tr w:rsidR="00180A58">
        <w:trPr>
          <w:trHeight w:val="724"/>
        </w:trPr>
        <w:tc>
          <w:tcPr>
            <w:tcW w:w="1413" w:type="dxa"/>
          </w:tcPr>
          <w:p w:rsidR="00180A58" w:rsidRDefault="00181322">
            <w:pPr>
              <w:pBdr>
                <w:top w:val="nil"/>
                <w:left w:val="nil"/>
                <w:bottom w:val="nil"/>
                <w:right w:val="nil"/>
                <w:between w:val="nil"/>
              </w:pBdr>
              <w:rPr>
                <w:color w:val="000000"/>
              </w:rPr>
            </w:pPr>
            <w:r>
              <w:rPr>
                <w:rFonts w:eastAsia="Calibri"/>
                <w:color w:val="000000"/>
              </w:rPr>
              <w:t>主辦單位</w:t>
            </w:r>
          </w:p>
        </w:tc>
        <w:tc>
          <w:tcPr>
            <w:tcW w:w="6883" w:type="dxa"/>
          </w:tcPr>
          <w:p w:rsidR="00180A58" w:rsidRDefault="00181322">
            <w:pPr>
              <w:pBdr>
                <w:top w:val="nil"/>
                <w:left w:val="nil"/>
                <w:bottom w:val="nil"/>
                <w:right w:val="nil"/>
                <w:between w:val="nil"/>
              </w:pBdr>
              <w:rPr>
                <w:color w:val="000000"/>
              </w:rPr>
            </w:pPr>
            <w:r>
              <w:rPr>
                <w:rFonts w:eastAsia="Calibri"/>
                <w:color w:val="000000"/>
              </w:rPr>
              <w:t>衛生</w:t>
            </w:r>
            <w:proofErr w:type="gramStart"/>
            <w:r>
              <w:rPr>
                <w:rFonts w:eastAsia="Calibri"/>
                <w:color w:val="000000"/>
              </w:rPr>
              <w:t>福利部雙和</w:t>
            </w:r>
            <w:proofErr w:type="gramEnd"/>
            <w:r>
              <w:rPr>
                <w:rFonts w:eastAsia="Calibri"/>
                <w:color w:val="000000"/>
              </w:rPr>
              <w:t>醫院(</w:t>
            </w:r>
            <w:proofErr w:type="gramStart"/>
            <w:r>
              <w:rPr>
                <w:rFonts w:eastAsia="Calibri"/>
                <w:color w:val="000000"/>
              </w:rPr>
              <w:t>臺</w:t>
            </w:r>
            <w:proofErr w:type="gramEnd"/>
            <w:r>
              <w:rPr>
                <w:rFonts w:eastAsia="Calibri"/>
                <w:color w:val="000000"/>
              </w:rPr>
              <w:t>北醫學大學興建經營) 失智症中心</w:t>
            </w:r>
          </w:p>
        </w:tc>
      </w:tr>
      <w:tr w:rsidR="00180A58">
        <w:tc>
          <w:tcPr>
            <w:tcW w:w="1413" w:type="dxa"/>
          </w:tcPr>
          <w:p w:rsidR="00180A58" w:rsidRDefault="00181322">
            <w:pPr>
              <w:pBdr>
                <w:top w:val="nil"/>
                <w:left w:val="nil"/>
                <w:bottom w:val="nil"/>
                <w:right w:val="nil"/>
                <w:between w:val="nil"/>
              </w:pBdr>
              <w:rPr>
                <w:color w:val="000000"/>
              </w:rPr>
            </w:pPr>
            <w:r>
              <w:rPr>
                <w:rFonts w:eastAsia="Calibri"/>
                <w:color w:val="000000"/>
              </w:rPr>
              <w:t>協辦單位</w:t>
            </w:r>
          </w:p>
        </w:tc>
        <w:tc>
          <w:tcPr>
            <w:tcW w:w="6883" w:type="dxa"/>
          </w:tcPr>
          <w:p w:rsidR="00180A58" w:rsidRDefault="00181322">
            <w:pPr>
              <w:pBdr>
                <w:top w:val="nil"/>
                <w:left w:val="nil"/>
                <w:bottom w:val="nil"/>
                <w:right w:val="nil"/>
                <w:between w:val="nil"/>
              </w:pBdr>
              <w:rPr>
                <w:color w:val="000000"/>
              </w:rPr>
            </w:pPr>
            <w:r>
              <w:rPr>
                <w:rFonts w:eastAsia="Calibri"/>
                <w:color w:val="000000"/>
              </w:rPr>
              <w:t>衛采製藥股份有限公司</w:t>
            </w:r>
          </w:p>
          <w:p w:rsidR="00180A58" w:rsidRDefault="00181322">
            <w:pPr>
              <w:pBdr>
                <w:top w:val="nil"/>
                <w:left w:val="nil"/>
                <w:bottom w:val="nil"/>
                <w:right w:val="nil"/>
                <w:between w:val="nil"/>
              </w:pBdr>
              <w:rPr>
                <w:color w:val="000000"/>
              </w:rPr>
            </w:pPr>
            <w:r>
              <w:rPr>
                <w:rFonts w:eastAsia="Calibri"/>
                <w:color w:val="000000"/>
              </w:rPr>
              <w:t>臺灣神經</w:t>
            </w:r>
            <w:proofErr w:type="gramStart"/>
            <w:r>
              <w:rPr>
                <w:rFonts w:eastAsia="Calibri"/>
                <w:color w:val="000000"/>
              </w:rPr>
              <w:t>學</w:t>
            </w:r>
            <w:proofErr w:type="gramEnd"/>
            <w:r>
              <w:rPr>
                <w:rFonts w:eastAsia="Calibri"/>
                <w:color w:val="000000"/>
              </w:rPr>
              <w:t>學會</w:t>
            </w:r>
          </w:p>
          <w:p w:rsidR="00180A58" w:rsidRDefault="00181322">
            <w:pPr>
              <w:pBdr>
                <w:top w:val="nil"/>
                <w:left w:val="nil"/>
                <w:bottom w:val="nil"/>
                <w:right w:val="nil"/>
                <w:between w:val="nil"/>
              </w:pBdr>
              <w:rPr>
                <w:color w:val="000000"/>
              </w:rPr>
            </w:pPr>
            <w:proofErr w:type="gramStart"/>
            <w:r>
              <w:rPr>
                <w:rFonts w:eastAsia="Calibri"/>
                <w:color w:val="000000"/>
              </w:rPr>
              <w:t>臺</w:t>
            </w:r>
            <w:proofErr w:type="gramEnd"/>
            <w:r>
              <w:rPr>
                <w:rFonts w:eastAsia="Calibri"/>
                <w:color w:val="000000"/>
              </w:rPr>
              <w:t>北榮民總醫院神經內科</w:t>
            </w:r>
          </w:p>
          <w:p w:rsidR="00180A58" w:rsidRDefault="00181322">
            <w:pPr>
              <w:pBdr>
                <w:top w:val="nil"/>
                <w:left w:val="nil"/>
                <w:bottom w:val="nil"/>
                <w:right w:val="nil"/>
                <w:between w:val="nil"/>
              </w:pBdr>
              <w:rPr>
                <w:color w:val="000000"/>
              </w:rPr>
            </w:pPr>
            <w:proofErr w:type="gramStart"/>
            <w:r>
              <w:rPr>
                <w:rFonts w:eastAsia="Calibri"/>
                <w:color w:val="000000"/>
              </w:rPr>
              <w:t>臺</w:t>
            </w:r>
            <w:proofErr w:type="gramEnd"/>
            <w:r>
              <w:rPr>
                <w:rFonts w:eastAsia="Calibri"/>
                <w:color w:val="000000"/>
              </w:rPr>
              <w:t>中榮民總醫院失智症中心</w:t>
            </w:r>
          </w:p>
          <w:p w:rsidR="00180A58" w:rsidRDefault="00181322">
            <w:pPr>
              <w:pBdr>
                <w:top w:val="nil"/>
                <w:left w:val="nil"/>
                <w:bottom w:val="nil"/>
                <w:right w:val="nil"/>
                <w:between w:val="nil"/>
              </w:pBdr>
              <w:rPr>
                <w:color w:val="000000"/>
              </w:rPr>
            </w:pPr>
            <w:r>
              <w:rPr>
                <w:rFonts w:eastAsia="Calibri"/>
                <w:color w:val="000000"/>
              </w:rPr>
              <w:t>臺北市立聯合醫院失智症中心</w:t>
            </w:r>
          </w:p>
          <w:p w:rsidR="00180A58" w:rsidRDefault="00181322">
            <w:pPr>
              <w:pBdr>
                <w:top w:val="nil"/>
                <w:left w:val="nil"/>
                <w:bottom w:val="nil"/>
                <w:right w:val="nil"/>
                <w:between w:val="nil"/>
              </w:pBdr>
              <w:rPr>
                <w:color w:val="000000"/>
              </w:rPr>
            </w:pPr>
            <w:proofErr w:type="gramStart"/>
            <w:r>
              <w:rPr>
                <w:rFonts w:eastAsia="Calibri"/>
                <w:color w:val="000000"/>
              </w:rPr>
              <w:t>臺</w:t>
            </w:r>
            <w:proofErr w:type="gramEnd"/>
            <w:r>
              <w:rPr>
                <w:rFonts w:eastAsia="Calibri"/>
                <w:color w:val="000000"/>
              </w:rPr>
              <w:t>北醫學大學醫學院</w:t>
            </w:r>
          </w:p>
        </w:tc>
      </w:tr>
      <w:tr w:rsidR="00180A58">
        <w:tc>
          <w:tcPr>
            <w:tcW w:w="1413" w:type="dxa"/>
          </w:tcPr>
          <w:p w:rsidR="00180A58" w:rsidRDefault="00181322">
            <w:pPr>
              <w:pBdr>
                <w:top w:val="nil"/>
                <w:left w:val="nil"/>
                <w:bottom w:val="nil"/>
                <w:right w:val="nil"/>
                <w:between w:val="nil"/>
              </w:pBdr>
              <w:rPr>
                <w:color w:val="000000"/>
              </w:rPr>
            </w:pPr>
            <w:r>
              <w:rPr>
                <w:rFonts w:eastAsia="Calibri"/>
                <w:color w:val="000000"/>
              </w:rPr>
              <w:t>聯絡人</w:t>
            </w:r>
          </w:p>
        </w:tc>
        <w:tc>
          <w:tcPr>
            <w:tcW w:w="6883" w:type="dxa"/>
          </w:tcPr>
          <w:p w:rsidR="00180A58" w:rsidRDefault="00181322">
            <w:pPr>
              <w:pBdr>
                <w:top w:val="nil"/>
                <w:left w:val="nil"/>
                <w:bottom w:val="nil"/>
                <w:right w:val="nil"/>
                <w:between w:val="nil"/>
              </w:pBdr>
              <w:rPr>
                <w:color w:val="000000"/>
              </w:rPr>
            </w:pPr>
            <w:r>
              <w:rPr>
                <w:rFonts w:eastAsia="Calibri"/>
                <w:color w:val="000000"/>
              </w:rPr>
              <w:t>黃立楷 (雙和醫院 失智症中心)</w:t>
            </w:r>
          </w:p>
        </w:tc>
      </w:tr>
      <w:tr w:rsidR="00180A58">
        <w:trPr>
          <w:trHeight w:val="624"/>
        </w:trPr>
        <w:tc>
          <w:tcPr>
            <w:tcW w:w="1413" w:type="dxa"/>
          </w:tcPr>
          <w:p w:rsidR="00180A58" w:rsidRDefault="00181322">
            <w:pPr>
              <w:pBdr>
                <w:top w:val="nil"/>
                <w:left w:val="nil"/>
                <w:bottom w:val="nil"/>
                <w:right w:val="nil"/>
                <w:between w:val="nil"/>
              </w:pBdr>
              <w:rPr>
                <w:color w:val="000000"/>
                <w:sz w:val="22"/>
                <w:szCs w:val="22"/>
              </w:rPr>
            </w:pPr>
            <w:r>
              <w:rPr>
                <w:rFonts w:eastAsia="Calibri"/>
                <w:color w:val="000000"/>
                <w:sz w:val="22"/>
                <w:szCs w:val="22"/>
              </w:rPr>
              <w:t>聯絡方式</w:t>
            </w:r>
          </w:p>
        </w:tc>
        <w:tc>
          <w:tcPr>
            <w:tcW w:w="6883" w:type="dxa"/>
          </w:tcPr>
          <w:p w:rsidR="00180A58" w:rsidRDefault="00181322">
            <w:pPr>
              <w:pBdr>
                <w:top w:val="nil"/>
                <w:left w:val="nil"/>
                <w:bottom w:val="nil"/>
                <w:right w:val="nil"/>
                <w:between w:val="nil"/>
              </w:pBdr>
              <w:rPr>
                <w:rFonts w:ascii="微軟正黑體" w:eastAsia="微軟正黑體" w:hAnsi="微軟正黑體" w:cs="微軟正黑體"/>
                <w:color w:val="000000"/>
                <w:sz w:val="22"/>
                <w:szCs w:val="22"/>
              </w:rPr>
            </w:pPr>
            <w:r>
              <w:rPr>
                <w:rFonts w:ascii="微軟正黑體" w:eastAsia="微軟正黑體" w:hAnsi="微軟正黑體" w:cs="微軟正黑體"/>
                <w:color w:val="000000"/>
                <w:sz w:val="22"/>
                <w:szCs w:val="22"/>
              </w:rPr>
              <w:t>0970746913 greatoriole@gmail.com</w:t>
            </w:r>
          </w:p>
        </w:tc>
      </w:tr>
    </w:tbl>
    <w:p w:rsidR="00180A58" w:rsidRDefault="00180A58"/>
    <w:sectPr w:rsidR="00180A58">
      <w:pgSz w:w="11906" w:h="16838"/>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
  <w:rsids>
    <w:rsidRoot w:val="00180A58"/>
    <w:rsid w:val="000571D1"/>
    <w:rsid w:val="000C3AA4"/>
    <w:rsid w:val="00180A58"/>
    <w:rsid w:val="00181322"/>
    <w:rsid w:val="00330F3A"/>
    <w:rsid w:val="004A4A6B"/>
    <w:rsid w:val="005B76EB"/>
    <w:rsid w:val="008168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590BA-2BB0-4CDB-BB34-9DD9F207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AB62FF"/>
    <w:pPr>
      <w:tabs>
        <w:tab w:val="center" w:pos="4153"/>
        <w:tab w:val="right" w:pos="8306"/>
      </w:tabs>
      <w:snapToGrid w:val="0"/>
    </w:pPr>
    <w:rPr>
      <w:sz w:val="20"/>
      <w:szCs w:val="20"/>
    </w:rPr>
  </w:style>
  <w:style w:type="character" w:customStyle="1" w:styleId="a5">
    <w:name w:val="頁首 字元"/>
    <w:basedOn w:val="a0"/>
    <w:link w:val="a4"/>
    <w:uiPriority w:val="99"/>
    <w:rsid w:val="00AB62FF"/>
    <w:rPr>
      <w:sz w:val="20"/>
      <w:szCs w:val="20"/>
    </w:rPr>
  </w:style>
  <w:style w:type="paragraph" w:styleId="a6">
    <w:name w:val="footer"/>
    <w:basedOn w:val="a"/>
    <w:link w:val="a7"/>
    <w:uiPriority w:val="99"/>
    <w:unhideWhenUsed/>
    <w:rsid w:val="00AB62FF"/>
    <w:pPr>
      <w:tabs>
        <w:tab w:val="center" w:pos="4153"/>
        <w:tab w:val="right" w:pos="8306"/>
      </w:tabs>
      <w:snapToGrid w:val="0"/>
    </w:pPr>
    <w:rPr>
      <w:sz w:val="20"/>
      <w:szCs w:val="20"/>
    </w:rPr>
  </w:style>
  <w:style w:type="character" w:customStyle="1" w:styleId="a7">
    <w:name w:val="頁尾 字元"/>
    <w:basedOn w:val="a0"/>
    <w:link w:val="a6"/>
    <w:uiPriority w:val="99"/>
    <w:rsid w:val="00AB62FF"/>
    <w:rPr>
      <w:sz w:val="20"/>
      <w:szCs w:val="20"/>
    </w:rPr>
  </w:style>
  <w:style w:type="table" w:styleId="a8">
    <w:name w:val="Table Grid"/>
    <w:basedOn w:val="a1"/>
    <w:uiPriority w:val="39"/>
    <w:rsid w:val="00A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ion-enable-hover">
    <w:name w:val="notion-enable-hover"/>
    <w:basedOn w:val="a0"/>
    <w:rsid w:val="00AB62FF"/>
  </w:style>
  <w:style w:type="character" w:customStyle="1" w:styleId="link-annotation-unknown-block-id-1941035117">
    <w:name w:val="link-annotation-unknown-block-id-1941035117"/>
    <w:basedOn w:val="a0"/>
    <w:rsid w:val="00AB62FF"/>
  </w:style>
  <w:style w:type="paragraph" w:styleId="a9">
    <w:name w:val="No Spacing"/>
    <w:uiPriority w:val="1"/>
    <w:qFormat/>
    <w:rsid w:val="000E5CAA"/>
  </w:style>
  <w:style w:type="character" w:customStyle="1" w:styleId="symbol">
    <w:name w:val="symbol"/>
    <w:basedOn w:val="a0"/>
    <w:rsid w:val="00A07207"/>
  </w:style>
  <w:style w:type="character" w:styleId="aa">
    <w:name w:val="Emphasis"/>
    <w:basedOn w:val="a0"/>
    <w:uiPriority w:val="20"/>
    <w:qFormat/>
    <w:rsid w:val="00A07207"/>
    <w:rPr>
      <w:i/>
      <w:iCs/>
    </w:rPr>
  </w:style>
  <w:style w:type="character" w:styleId="ab">
    <w:name w:val="Hyperlink"/>
    <w:basedOn w:val="a0"/>
    <w:uiPriority w:val="99"/>
    <w:unhideWhenUsed/>
    <w:rsid w:val="00764E1F"/>
    <w:rPr>
      <w:color w:val="0563C1" w:themeColor="hyperlink"/>
      <w:u w:val="single"/>
    </w:rPr>
  </w:style>
  <w:style w:type="paragraph" w:customStyle="1" w:styleId="04xlpa">
    <w:name w:val="_04xlpa"/>
    <w:basedOn w:val="a"/>
    <w:rsid w:val="00DA7FD9"/>
    <w:pPr>
      <w:widowControl/>
      <w:spacing w:before="100" w:beforeAutospacing="1" w:after="100" w:afterAutospacing="1"/>
    </w:pPr>
    <w:rPr>
      <w:rFonts w:ascii="新細明體" w:eastAsia="新細明體" w:hAnsi="新細明體" w:cs="新細明體"/>
    </w:rPr>
  </w:style>
  <w:style w:type="character" w:customStyle="1" w:styleId="jsgrdq">
    <w:name w:val="jsgrdq"/>
    <w:basedOn w:val="a0"/>
    <w:rsid w:val="00DA7FD9"/>
  </w:style>
  <w:style w:type="character" w:customStyle="1" w:styleId="10">
    <w:name w:val="未解析的提及1"/>
    <w:basedOn w:val="a0"/>
    <w:uiPriority w:val="99"/>
    <w:semiHidden/>
    <w:unhideWhenUsed/>
    <w:rsid w:val="00DA7FD9"/>
    <w:rPr>
      <w:color w:val="605E5C"/>
      <w:shd w:val="clear" w:color="auto" w:fill="E1DFDD"/>
    </w:rPr>
  </w:style>
  <w:style w:type="paragraph" w:styleId="ac">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d">
    <w:basedOn w:val="TableNormal0"/>
    <w:tblPr>
      <w:tblStyleRowBandSize w:val="1"/>
      <w:tblStyleColBandSize w:val="1"/>
      <w:tblCellMar>
        <w:top w:w="0" w:type="dxa"/>
        <w:left w:w="108" w:type="dxa"/>
        <w:bottom w:w="0" w:type="dxa"/>
        <w:right w:w="108" w:type="dxa"/>
      </w:tblCellMar>
    </w:tblPr>
  </w:style>
  <w:style w:type="table" w:customStyle="1" w:styleId="ae">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EDH5l9BAIJz3DpWAib4b+C9v5A==">CgMxLjA4AHIhMS1aak1IWUI0MmgzVUNkblRBcEFENk5TYVRiY3JlalRn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Liu</dc:creator>
  <cp:lastModifiedBy>room107</cp:lastModifiedBy>
  <cp:revision>3</cp:revision>
  <dcterms:created xsi:type="dcterms:W3CDTF">2023-11-15T06:26:00Z</dcterms:created>
  <dcterms:modified xsi:type="dcterms:W3CDTF">2023-12-20T07:16:00Z</dcterms:modified>
</cp:coreProperties>
</file>