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4F40" w14:textId="77777777" w:rsidR="00125801" w:rsidRDefault="00000000">
      <w:pPr>
        <w:rPr>
          <w:rFonts w:ascii="微軟正黑體" w:eastAsia="微軟正黑體" w:hAnsi="微軟正黑體" w:cs="微軟正黑體"/>
          <w:b/>
          <w:sz w:val="28"/>
          <w:szCs w:val="28"/>
        </w:rPr>
      </w:pPr>
      <w:r>
        <w:rPr>
          <w:rFonts w:ascii="微軟正黑體" w:eastAsia="微軟正黑體" w:hAnsi="微軟正黑體" w:cs="微軟正黑體"/>
          <w:b/>
          <w:sz w:val="28"/>
          <w:szCs w:val="28"/>
        </w:rPr>
        <w:t>大師講堂-失智症研究前沿系列講座 課程表</w:t>
      </w:r>
    </w:p>
    <w:p w14:paraId="77F41819" w14:textId="77777777" w:rsidR="00125801" w:rsidRDefault="00000000">
      <w:pPr>
        <w:rPr>
          <w:rFonts w:ascii="微軟正黑體" w:eastAsia="微軟正黑體" w:hAnsi="微軟正黑體" w:cs="微軟正黑體"/>
          <w:b/>
          <w:sz w:val="28"/>
          <w:szCs w:val="28"/>
        </w:rPr>
      </w:pPr>
      <w:r>
        <w:rPr>
          <w:rFonts w:ascii="微軟正黑體" w:eastAsia="微軟正黑體" w:hAnsi="微軟正黑體" w:cs="微軟正黑體"/>
          <w:b/>
          <w:sz w:val="28"/>
          <w:szCs w:val="28"/>
        </w:rPr>
        <w:t>Frontiers in Dementia Research—Master Lectures</w:t>
      </w:r>
    </w:p>
    <w:tbl>
      <w:tblPr>
        <w:tblStyle w:val="ae"/>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6883"/>
      </w:tblGrid>
      <w:tr w:rsidR="00125801" w14:paraId="2D6C8759" w14:textId="77777777">
        <w:tc>
          <w:tcPr>
            <w:tcW w:w="1413" w:type="dxa"/>
          </w:tcPr>
          <w:p w14:paraId="6A4D6CB8" w14:textId="77777777" w:rsidR="00125801" w:rsidRDefault="00000000">
            <w:pPr>
              <w:pBdr>
                <w:top w:val="nil"/>
                <w:left w:val="nil"/>
                <w:bottom w:val="nil"/>
                <w:right w:val="nil"/>
                <w:between w:val="nil"/>
              </w:pBdr>
              <w:rPr>
                <w:color w:val="000000"/>
              </w:rPr>
            </w:pPr>
            <w:r>
              <w:rPr>
                <w:rFonts w:eastAsia="Calibri"/>
                <w:color w:val="000000"/>
              </w:rPr>
              <w:t>課程時間</w:t>
            </w:r>
          </w:p>
        </w:tc>
        <w:tc>
          <w:tcPr>
            <w:tcW w:w="6883" w:type="dxa"/>
            <w:tcBorders>
              <w:bottom w:val="single" w:sz="7" w:space="0" w:color="000000"/>
            </w:tcBorders>
          </w:tcPr>
          <w:p w14:paraId="3750AF94" w14:textId="274C33B0" w:rsidR="00125801" w:rsidRDefault="00000000">
            <w:pPr>
              <w:pBdr>
                <w:top w:val="nil"/>
                <w:left w:val="nil"/>
                <w:bottom w:val="nil"/>
                <w:right w:val="nil"/>
                <w:between w:val="nil"/>
              </w:pBdr>
              <w:rPr>
                <w:color w:val="000000"/>
              </w:rPr>
            </w:pPr>
            <w:r>
              <w:rPr>
                <w:rFonts w:eastAsia="Calibri"/>
                <w:color w:val="000000"/>
              </w:rPr>
              <w:t>112年</w:t>
            </w:r>
            <w:r w:rsidR="00A67B15">
              <w:rPr>
                <w:rFonts w:hint="eastAsia"/>
              </w:rPr>
              <w:t>7</w:t>
            </w:r>
            <w:r>
              <w:rPr>
                <w:rFonts w:eastAsia="Calibri"/>
                <w:color w:val="000000"/>
              </w:rPr>
              <w:t>月</w:t>
            </w:r>
            <w:r w:rsidR="00A67B15">
              <w:rPr>
                <w:rFonts w:hint="eastAsia"/>
              </w:rPr>
              <w:t>21</w:t>
            </w:r>
            <w:r>
              <w:rPr>
                <w:rFonts w:eastAsia="Calibri"/>
                <w:color w:val="000000"/>
              </w:rPr>
              <w:t>日 12：30~13：30</w:t>
            </w:r>
          </w:p>
        </w:tc>
      </w:tr>
      <w:tr w:rsidR="00125801" w14:paraId="699AAE68" w14:textId="77777777">
        <w:tc>
          <w:tcPr>
            <w:tcW w:w="1413" w:type="dxa"/>
            <w:tcBorders>
              <w:right w:val="single" w:sz="7" w:space="0" w:color="000000"/>
            </w:tcBorders>
          </w:tcPr>
          <w:p w14:paraId="37913F38" w14:textId="77777777" w:rsidR="00125801" w:rsidRDefault="00000000">
            <w:pPr>
              <w:pBdr>
                <w:top w:val="nil"/>
                <w:left w:val="nil"/>
                <w:bottom w:val="nil"/>
                <w:right w:val="nil"/>
                <w:between w:val="nil"/>
              </w:pBdr>
              <w:rPr>
                <w:color w:val="000000"/>
              </w:rPr>
            </w:pPr>
            <w:r>
              <w:rPr>
                <w:rFonts w:eastAsia="Calibri"/>
                <w:color w:val="000000"/>
              </w:rPr>
              <w:t>課程地點</w:t>
            </w:r>
          </w:p>
        </w:tc>
        <w:tc>
          <w:tcPr>
            <w:tcW w:w="6883" w:type="dxa"/>
            <w:tcBorders>
              <w:top w:val="single" w:sz="7" w:space="0" w:color="000000"/>
              <w:left w:val="single" w:sz="7" w:space="0" w:color="000000"/>
              <w:bottom w:val="single" w:sz="7" w:space="0" w:color="000000"/>
              <w:right w:val="single" w:sz="7" w:space="0" w:color="000000"/>
            </w:tcBorders>
            <w:tcMar>
              <w:top w:w="160" w:type="dxa"/>
              <w:left w:w="160" w:type="dxa"/>
              <w:bottom w:w="160" w:type="dxa"/>
              <w:right w:w="160" w:type="dxa"/>
            </w:tcMar>
          </w:tcPr>
          <w:p w14:paraId="5A3311AC" w14:textId="77777777" w:rsidR="00125801" w:rsidRDefault="00000000">
            <w:pPr>
              <w:rPr>
                <w:color w:val="0563C1"/>
                <w:u w:val="single"/>
              </w:rPr>
            </w:pPr>
            <w:r>
              <w:rPr>
                <w:b/>
                <w:color w:val="222222"/>
              </w:rPr>
              <w:t>Webex meeting room</w:t>
            </w:r>
            <w:r>
              <w:rPr>
                <w:color w:val="222222"/>
              </w:rPr>
              <w:t>：</w:t>
            </w:r>
            <w:r>
              <w:fldChar w:fldCharType="begin"/>
            </w:r>
            <w:r>
              <w:instrText>HYPERLINK "https://taipeimedicaluniversityshuanghohospitalministryofhealth.my.webex.com/meet/pr1585279471" \h</w:instrText>
            </w:r>
            <w:r>
              <w:fldChar w:fldCharType="separate"/>
            </w:r>
            <w:r>
              <w:rPr>
                <w:color w:val="0563C1"/>
                <w:u w:val="single"/>
              </w:rPr>
              <w:t>https://taipeimedicaluniversityshuanghohospitalministryofhealth.my.webex.com/meet/pr1585279471</w:t>
            </w:r>
            <w:r>
              <w:rPr>
                <w:color w:val="0563C1"/>
                <w:u w:val="single"/>
              </w:rPr>
              <w:fldChar w:fldCharType="end"/>
            </w:r>
          </w:p>
          <w:p w14:paraId="7439D483" w14:textId="77777777" w:rsidR="00125801" w:rsidRDefault="00000000">
            <w:pPr>
              <w:rPr>
                <w:color w:val="222222"/>
              </w:rPr>
            </w:pPr>
            <w:r>
              <w:rPr>
                <w:b/>
                <w:color w:val="222222"/>
              </w:rPr>
              <w:t>meeting room number</w:t>
            </w:r>
            <w:r>
              <w:rPr>
                <w:color w:val="222222"/>
              </w:rPr>
              <w:t>：</w:t>
            </w:r>
            <w:r>
              <w:rPr>
                <w:color w:val="222222"/>
              </w:rPr>
              <w:t>1585 27 9471</w:t>
            </w:r>
          </w:p>
        </w:tc>
      </w:tr>
      <w:tr w:rsidR="00125801" w14:paraId="39DEEBD1" w14:textId="77777777">
        <w:tc>
          <w:tcPr>
            <w:tcW w:w="1413" w:type="dxa"/>
          </w:tcPr>
          <w:p w14:paraId="6E21BFB1" w14:textId="77777777" w:rsidR="00125801" w:rsidRDefault="00000000">
            <w:pPr>
              <w:pBdr>
                <w:top w:val="nil"/>
                <w:left w:val="nil"/>
                <w:bottom w:val="nil"/>
                <w:right w:val="nil"/>
                <w:between w:val="nil"/>
              </w:pBdr>
              <w:rPr>
                <w:color w:val="000000"/>
              </w:rPr>
            </w:pPr>
            <w:r>
              <w:rPr>
                <w:rFonts w:eastAsia="Calibri"/>
                <w:color w:val="000000"/>
              </w:rPr>
              <w:t>主題</w:t>
            </w:r>
          </w:p>
        </w:tc>
        <w:tc>
          <w:tcPr>
            <w:tcW w:w="6883" w:type="dxa"/>
            <w:tcBorders>
              <w:top w:val="single" w:sz="7" w:space="0" w:color="000000"/>
            </w:tcBorders>
          </w:tcPr>
          <w:p w14:paraId="1FC3E96E" w14:textId="77777777" w:rsidR="00125801" w:rsidRDefault="00000000">
            <w:pPr>
              <w:pBdr>
                <w:top w:val="nil"/>
                <w:left w:val="nil"/>
                <w:bottom w:val="nil"/>
                <w:right w:val="nil"/>
                <w:between w:val="nil"/>
              </w:pBdr>
              <w:rPr>
                <w:color w:val="000000"/>
                <w:highlight w:val="white"/>
              </w:rPr>
            </w:pPr>
            <w:r>
              <w:rPr>
                <w:rFonts w:eastAsia="Calibri"/>
                <w:color w:val="000000"/>
                <w:highlight w:val="white"/>
              </w:rPr>
              <w:t>Frontiers in Dementia Research—Master Lectures</w:t>
            </w:r>
          </w:p>
        </w:tc>
      </w:tr>
      <w:tr w:rsidR="00125801" w14:paraId="6AD0A10C" w14:textId="77777777">
        <w:tc>
          <w:tcPr>
            <w:tcW w:w="1413" w:type="dxa"/>
          </w:tcPr>
          <w:p w14:paraId="38097603" w14:textId="77777777" w:rsidR="00125801" w:rsidRDefault="00000000">
            <w:pPr>
              <w:pBdr>
                <w:top w:val="nil"/>
                <w:left w:val="nil"/>
                <w:bottom w:val="nil"/>
                <w:right w:val="nil"/>
                <w:between w:val="nil"/>
              </w:pBdr>
              <w:rPr>
                <w:highlight w:val="white"/>
              </w:rPr>
            </w:pPr>
            <w:r>
              <w:rPr>
                <w:highlight w:val="white"/>
              </w:rPr>
              <w:t>講師</w:t>
            </w:r>
          </w:p>
        </w:tc>
        <w:tc>
          <w:tcPr>
            <w:tcW w:w="6883" w:type="dxa"/>
          </w:tcPr>
          <w:p w14:paraId="5E0116B2" w14:textId="2405B7BC" w:rsidR="00125801" w:rsidRDefault="00000000">
            <w:pPr>
              <w:pBdr>
                <w:top w:val="nil"/>
                <w:left w:val="nil"/>
                <w:bottom w:val="nil"/>
                <w:right w:val="nil"/>
                <w:between w:val="nil"/>
              </w:pBdr>
              <w:rPr>
                <w:highlight w:val="white"/>
              </w:rPr>
            </w:pPr>
            <w:r>
              <w:rPr>
                <w:highlight w:val="white"/>
              </w:rPr>
              <w:t xml:space="preserve">Prof. </w:t>
            </w:r>
            <w:r w:rsidR="00A67B15" w:rsidRPr="00A67B15">
              <w:t>John O'Brien</w:t>
            </w:r>
          </w:p>
        </w:tc>
      </w:tr>
      <w:tr w:rsidR="00125801" w14:paraId="69C04CA4" w14:textId="77777777">
        <w:trPr>
          <w:trHeight w:val="652"/>
        </w:trPr>
        <w:tc>
          <w:tcPr>
            <w:tcW w:w="1413" w:type="dxa"/>
          </w:tcPr>
          <w:p w14:paraId="60BF4943" w14:textId="77777777" w:rsidR="00125801" w:rsidRDefault="00000000">
            <w:pPr>
              <w:pBdr>
                <w:top w:val="nil"/>
                <w:left w:val="nil"/>
                <w:bottom w:val="nil"/>
                <w:right w:val="nil"/>
                <w:between w:val="nil"/>
              </w:pBdr>
              <w:rPr>
                <w:color w:val="000000"/>
              </w:rPr>
            </w:pPr>
            <w:r>
              <w:rPr>
                <w:rFonts w:eastAsia="Calibri"/>
                <w:color w:val="000000"/>
              </w:rPr>
              <w:t>講師簡歷</w:t>
            </w:r>
          </w:p>
        </w:tc>
        <w:tc>
          <w:tcPr>
            <w:tcW w:w="6883" w:type="dxa"/>
          </w:tcPr>
          <w:p w14:paraId="256A6B94" w14:textId="77777777" w:rsidR="00125801" w:rsidRDefault="00000000">
            <w:pPr>
              <w:pBdr>
                <w:top w:val="nil"/>
                <w:left w:val="nil"/>
                <w:bottom w:val="nil"/>
                <w:right w:val="nil"/>
                <w:between w:val="nil"/>
              </w:pBdr>
              <w:rPr>
                <w:b/>
              </w:rPr>
            </w:pPr>
            <w:r>
              <w:rPr>
                <w:b/>
              </w:rPr>
              <w:t xml:space="preserve">Affiliation(s): </w:t>
            </w:r>
          </w:p>
          <w:p w14:paraId="1B4B7B0A" w14:textId="77777777" w:rsidR="00A67B15" w:rsidRDefault="00A67B15" w:rsidP="00A67B15">
            <w:pPr>
              <w:pBdr>
                <w:top w:val="nil"/>
                <w:left w:val="nil"/>
                <w:bottom w:val="nil"/>
                <w:right w:val="nil"/>
                <w:between w:val="nil"/>
              </w:pBdr>
            </w:pPr>
            <w:r>
              <w:t>Professor of Old Age Psychiatry and NIHR National Specialty Lead for Dementia</w:t>
            </w:r>
          </w:p>
          <w:p w14:paraId="39BBF6A4" w14:textId="77777777" w:rsidR="00A67B15" w:rsidRDefault="00A67B15" w:rsidP="00A67B15">
            <w:pPr>
              <w:pBdr>
                <w:top w:val="nil"/>
                <w:left w:val="nil"/>
                <w:bottom w:val="nil"/>
                <w:right w:val="nil"/>
                <w:between w:val="nil"/>
              </w:pBdr>
            </w:pPr>
            <w:r>
              <w:t>Department of Psychiatry, University of Cambridge</w:t>
            </w:r>
          </w:p>
          <w:p w14:paraId="75E1400F" w14:textId="7AF1BA68" w:rsidR="00125801" w:rsidRDefault="00A67B15" w:rsidP="00A67B15">
            <w:pPr>
              <w:pBdr>
                <w:top w:val="nil"/>
                <w:left w:val="nil"/>
                <w:bottom w:val="nil"/>
                <w:right w:val="nil"/>
                <w:between w:val="nil"/>
              </w:pBdr>
            </w:pPr>
            <w:r>
              <w:t>Professor John T O’Brien is Professor of Old Age Psychiatry in the Department of Psychiatry at the University of Cambridge. He is also a National Institute for Health Research Emeritus Senior Investigator and a Fellow of the UK Academy of Medical Sciences.</w:t>
            </w:r>
          </w:p>
          <w:p w14:paraId="74405DC7" w14:textId="77777777" w:rsidR="00A67B15" w:rsidRDefault="00A67B15" w:rsidP="00A67B15">
            <w:pPr>
              <w:pBdr>
                <w:top w:val="nil"/>
                <w:left w:val="nil"/>
                <w:bottom w:val="nil"/>
                <w:right w:val="nil"/>
                <w:between w:val="nil"/>
              </w:pBdr>
            </w:pPr>
          </w:p>
          <w:p w14:paraId="4C72C36F" w14:textId="00B3F074" w:rsidR="00125801" w:rsidRDefault="00A67B15">
            <w:pPr>
              <w:pBdr>
                <w:top w:val="nil"/>
                <w:left w:val="nil"/>
                <w:bottom w:val="nil"/>
                <w:right w:val="nil"/>
                <w:between w:val="nil"/>
              </w:pBdr>
            </w:pPr>
            <w:r w:rsidRPr="00A67B15">
              <w:t>John O’Brien is Professor of Old Age Psychiatry in the Department of Psychiatry at the University of Cambridge. He is also a National Institute for Health Research Emeritus Senior Investigator, a Fellow of the UK Academy of Medical Sciences and the NIHR National Specialty Lead for Dementia. His research interests include the use of neuroimaging as a diagnostic and prognostic biomarker in dementia and the diagnosis and management of Lewy body and vascular dementia. He has published over 500 peer-reviewed papers and 7 books on these topics. He is a member of national and international guideline and consensus groups, including those of the National Institute for Health and Clinical Excellence (NICE), the European Stroke Association and Vas-Cog where he serves as Treasurer.</w:t>
            </w:r>
          </w:p>
        </w:tc>
      </w:tr>
      <w:tr w:rsidR="00125801" w14:paraId="0164E8E3" w14:textId="77777777">
        <w:tc>
          <w:tcPr>
            <w:tcW w:w="1413" w:type="dxa"/>
          </w:tcPr>
          <w:p w14:paraId="11492F2F" w14:textId="77777777" w:rsidR="00125801" w:rsidRDefault="00000000">
            <w:pPr>
              <w:pBdr>
                <w:top w:val="nil"/>
                <w:left w:val="nil"/>
                <w:bottom w:val="nil"/>
                <w:right w:val="nil"/>
                <w:between w:val="nil"/>
              </w:pBdr>
              <w:rPr>
                <w:color w:val="000000"/>
              </w:rPr>
            </w:pPr>
            <w:r>
              <w:rPr>
                <w:rFonts w:eastAsia="Calibri"/>
                <w:color w:val="000000"/>
              </w:rPr>
              <w:t>課程摘要</w:t>
            </w:r>
          </w:p>
        </w:tc>
        <w:tc>
          <w:tcPr>
            <w:tcW w:w="6883" w:type="dxa"/>
          </w:tcPr>
          <w:p w14:paraId="0C9669C9" w14:textId="2A0EC359" w:rsidR="00125801" w:rsidRDefault="00A67B15">
            <w:r w:rsidRPr="00A67B15">
              <w:t xml:space="preserve">Lewy body dementia, comprising both dementia with Lewy bodies (DLB) and Parkinson’s disease dementia (PDD), has an even worse outcome than other dementias in terms of functional decline, reduced quality of life and increased mortality. There are some effective treatments for Lewy body dementia and its symptoms, but there is considerable heterogeneity in approaches to management. This lecture will update current thinking on how to improve both diagnosis and management, and describe results of a recent study which has developed new management guidelines to assist clinicians to </w:t>
            </w:r>
            <w:proofErr w:type="spellStart"/>
            <w:r w:rsidRPr="00A67B15">
              <w:t>optimise</w:t>
            </w:r>
            <w:proofErr w:type="spellEnd"/>
            <w:r w:rsidRPr="00A67B15">
              <w:t xml:space="preserve"> management.</w:t>
            </w:r>
          </w:p>
        </w:tc>
      </w:tr>
      <w:tr w:rsidR="00125801" w14:paraId="198A8500" w14:textId="77777777">
        <w:trPr>
          <w:trHeight w:val="1467"/>
        </w:trPr>
        <w:tc>
          <w:tcPr>
            <w:tcW w:w="1413" w:type="dxa"/>
          </w:tcPr>
          <w:p w14:paraId="17470E08" w14:textId="77777777" w:rsidR="00125801" w:rsidRDefault="00000000">
            <w:pPr>
              <w:pBdr>
                <w:top w:val="nil"/>
                <w:left w:val="nil"/>
                <w:bottom w:val="nil"/>
                <w:right w:val="nil"/>
                <w:between w:val="nil"/>
              </w:pBdr>
              <w:rPr>
                <w:color w:val="000000"/>
              </w:rPr>
            </w:pPr>
            <w:r>
              <w:rPr>
                <w:rFonts w:eastAsia="Calibri"/>
                <w:color w:val="000000"/>
              </w:rPr>
              <w:lastRenderedPageBreak/>
              <w:t>課程形式</w:t>
            </w:r>
          </w:p>
        </w:tc>
        <w:tc>
          <w:tcPr>
            <w:tcW w:w="6883" w:type="dxa"/>
          </w:tcPr>
          <w:p w14:paraId="1BF1F9EA" w14:textId="77777777" w:rsidR="00125801" w:rsidRDefault="00000000">
            <w:pPr>
              <w:pBdr>
                <w:top w:val="nil"/>
                <w:left w:val="nil"/>
                <w:bottom w:val="nil"/>
                <w:right w:val="nil"/>
                <w:between w:val="nil"/>
              </w:pBdr>
              <w:rPr>
                <w:color w:val="000000"/>
              </w:rPr>
            </w:pPr>
            <w:r>
              <w:rPr>
                <w:rFonts w:eastAsia="Calibri"/>
                <w:color w:val="000000"/>
              </w:rPr>
              <w:t>課程時長1小時 (12:30~13:30)</w:t>
            </w:r>
          </w:p>
          <w:p w14:paraId="2D0D3D0B" w14:textId="77777777" w:rsidR="00125801" w:rsidRDefault="00000000">
            <w:pPr>
              <w:pBdr>
                <w:top w:val="nil"/>
                <w:left w:val="nil"/>
                <w:bottom w:val="nil"/>
                <w:right w:val="nil"/>
                <w:between w:val="nil"/>
              </w:pBdr>
            </w:pPr>
            <w:r>
              <w:t>Date: June 30th, 2023</w:t>
            </w:r>
          </w:p>
          <w:p w14:paraId="6FEBA593" w14:textId="77777777" w:rsidR="00125801" w:rsidRDefault="00000000">
            <w:pPr>
              <w:pBdr>
                <w:top w:val="nil"/>
                <w:left w:val="nil"/>
                <w:bottom w:val="nil"/>
                <w:right w:val="nil"/>
                <w:between w:val="nil"/>
              </w:pBdr>
            </w:pPr>
            <w:r>
              <w:t>Agenda:</w:t>
            </w:r>
          </w:p>
          <w:p w14:paraId="3E3BE10A" w14:textId="77777777" w:rsidR="00125801" w:rsidRDefault="00000000">
            <w:pPr>
              <w:pBdr>
                <w:top w:val="nil"/>
                <w:left w:val="nil"/>
                <w:bottom w:val="nil"/>
                <w:right w:val="nil"/>
                <w:between w:val="nil"/>
              </w:pBdr>
            </w:pPr>
            <w:r>
              <w:t>12:30-12:35: Opening (online meeting room opens at 12:20 p.m.)</w:t>
            </w:r>
          </w:p>
          <w:p w14:paraId="6E07A04D" w14:textId="77777777" w:rsidR="00A67B15" w:rsidRDefault="00000000">
            <w:pPr>
              <w:pBdr>
                <w:top w:val="nil"/>
                <w:left w:val="nil"/>
                <w:bottom w:val="nil"/>
                <w:right w:val="nil"/>
                <w:between w:val="nil"/>
              </w:pBdr>
            </w:pPr>
            <w:r>
              <w:t xml:space="preserve">12:35-13:15: </w:t>
            </w:r>
            <w:r w:rsidR="00A67B15" w:rsidRPr="00A67B15">
              <w:t>Improving the diagnosis and management of Lewy body dementia</w:t>
            </w:r>
          </w:p>
          <w:p w14:paraId="029D66C5" w14:textId="0B5F9C9B" w:rsidR="00125801" w:rsidRDefault="00000000">
            <w:pPr>
              <w:pBdr>
                <w:top w:val="nil"/>
                <w:left w:val="nil"/>
                <w:bottom w:val="nil"/>
                <w:right w:val="nil"/>
                <w:between w:val="nil"/>
              </w:pBdr>
            </w:pPr>
            <w:r>
              <w:t>13:15-13:30: Q&amp;A session</w:t>
            </w:r>
          </w:p>
          <w:p w14:paraId="6B7C45B1" w14:textId="77777777" w:rsidR="00125801" w:rsidRDefault="00125801">
            <w:pPr>
              <w:pBdr>
                <w:top w:val="nil"/>
                <w:left w:val="nil"/>
                <w:bottom w:val="nil"/>
                <w:right w:val="nil"/>
                <w:between w:val="nil"/>
              </w:pBdr>
            </w:pPr>
          </w:p>
        </w:tc>
      </w:tr>
      <w:tr w:rsidR="00125801" w14:paraId="05A7FD84" w14:textId="77777777">
        <w:trPr>
          <w:trHeight w:val="724"/>
        </w:trPr>
        <w:tc>
          <w:tcPr>
            <w:tcW w:w="1413" w:type="dxa"/>
          </w:tcPr>
          <w:p w14:paraId="721D188E" w14:textId="77777777" w:rsidR="00125801" w:rsidRDefault="00000000">
            <w:pPr>
              <w:pBdr>
                <w:top w:val="nil"/>
                <w:left w:val="nil"/>
                <w:bottom w:val="nil"/>
                <w:right w:val="nil"/>
                <w:between w:val="nil"/>
              </w:pBdr>
              <w:rPr>
                <w:color w:val="000000"/>
              </w:rPr>
            </w:pPr>
            <w:r>
              <w:rPr>
                <w:rFonts w:eastAsia="Calibri"/>
                <w:color w:val="000000"/>
              </w:rPr>
              <w:t>主辦單位</w:t>
            </w:r>
          </w:p>
        </w:tc>
        <w:tc>
          <w:tcPr>
            <w:tcW w:w="6883" w:type="dxa"/>
          </w:tcPr>
          <w:p w14:paraId="6143EB55" w14:textId="77777777" w:rsidR="00125801" w:rsidRDefault="00000000">
            <w:pPr>
              <w:pBdr>
                <w:top w:val="nil"/>
                <w:left w:val="nil"/>
                <w:bottom w:val="nil"/>
                <w:right w:val="nil"/>
                <w:between w:val="nil"/>
              </w:pBdr>
              <w:rPr>
                <w:color w:val="000000"/>
              </w:rPr>
            </w:pPr>
            <w:r>
              <w:rPr>
                <w:rFonts w:eastAsia="Calibri"/>
                <w:color w:val="000000"/>
              </w:rPr>
              <w:t>衛生</w:t>
            </w:r>
            <w:proofErr w:type="gramStart"/>
            <w:r>
              <w:rPr>
                <w:rFonts w:eastAsia="Calibri"/>
                <w:color w:val="000000"/>
              </w:rPr>
              <w:t>福利部雙和</w:t>
            </w:r>
            <w:proofErr w:type="gramEnd"/>
            <w:r>
              <w:rPr>
                <w:rFonts w:eastAsia="Calibri"/>
                <w:color w:val="000000"/>
              </w:rPr>
              <w:t>醫院(</w:t>
            </w:r>
            <w:proofErr w:type="gramStart"/>
            <w:r>
              <w:rPr>
                <w:rFonts w:eastAsia="Calibri"/>
                <w:color w:val="000000"/>
              </w:rPr>
              <w:t>臺</w:t>
            </w:r>
            <w:proofErr w:type="gramEnd"/>
            <w:r>
              <w:rPr>
                <w:rFonts w:eastAsia="Calibri"/>
                <w:color w:val="000000"/>
              </w:rPr>
              <w:t>北醫學大學興建經營) 失智症中心</w:t>
            </w:r>
          </w:p>
        </w:tc>
      </w:tr>
      <w:tr w:rsidR="00125801" w14:paraId="2D8E8D6D" w14:textId="77777777">
        <w:tc>
          <w:tcPr>
            <w:tcW w:w="1413" w:type="dxa"/>
          </w:tcPr>
          <w:p w14:paraId="18B55812" w14:textId="77777777" w:rsidR="00125801" w:rsidRDefault="00000000">
            <w:pPr>
              <w:pBdr>
                <w:top w:val="nil"/>
                <w:left w:val="nil"/>
                <w:bottom w:val="nil"/>
                <w:right w:val="nil"/>
                <w:between w:val="nil"/>
              </w:pBdr>
              <w:rPr>
                <w:color w:val="000000"/>
              </w:rPr>
            </w:pPr>
            <w:r>
              <w:rPr>
                <w:rFonts w:eastAsia="Calibri"/>
                <w:color w:val="000000"/>
              </w:rPr>
              <w:t>協辦單位</w:t>
            </w:r>
          </w:p>
        </w:tc>
        <w:tc>
          <w:tcPr>
            <w:tcW w:w="6883" w:type="dxa"/>
          </w:tcPr>
          <w:p w14:paraId="000056FA" w14:textId="77777777" w:rsidR="00125801" w:rsidRDefault="00000000">
            <w:pPr>
              <w:pBdr>
                <w:top w:val="nil"/>
                <w:left w:val="nil"/>
                <w:bottom w:val="nil"/>
                <w:right w:val="nil"/>
                <w:between w:val="nil"/>
              </w:pBdr>
              <w:rPr>
                <w:color w:val="000000"/>
              </w:rPr>
            </w:pPr>
            <w:r>
              <w:rPr>
                <w:rFonts w:eastAsia="Calibri"/>
                <w:color w:val="000000"/>
              </w:rPr>
              <w:t>衛采製藥股份有限公司</w:t>
            </w:r>
          </w:p>
          <w:p w14:paraId="28155D49" w14:textId="77777777" w:rsidR="00125801" w:rsidRDefault="00000000">
            <w:pPr>
              <w:pBdr>
                <w:top w:val="nil"/>
                <w:left w:val="nil"/>
                <w:bottom w:val="nil"/>
                <w:right w:val="nil"/>
                <w:between w:val="nil"/>
              </w:pBdr>
              <w:rPr>
                <w:color w:val="000000"/>
              </w:rPr>
            </w:pPr>
            <w:r>
              <w:rPr>
                <w:rFonts w:eastAsia="Calibri"/>
                <w:color w:val="000000"/>
              </w:rPr>
              <w:t>臺灣神經</w:t>
            </w:r>
            <w:proofErr w:type="gramStart"/>
            <w:r>
              <w:rPr>
                <w:rFonts w:eastAsia="Calibri"/>
                <w:color w:val="000000"/>
              </w:rPr>
              <w:t>學</w:t>
            </w:r>
            <w:proofErr w:type="gramEnd"/>
            <w:r>
              <w:rPr>
                <w:rFonts w:eastAsia="Calibri"/>
                <w:color w:val="000000"/>
              </w:rPr>
              <w:t>學會</w:t>
            </w:r>
          </w:p>
          <w:p w14:paraId="56A8704B" w14:textId="77777777" w:rsidR="00125801" w:rsidRDefault="00000000">
            <w:pPr>
              <w:pBdr>
                <w:top w:val="nil"/>
                <w:left w:val="nil"/>
                <w:bottom w:val="nil"/>
                <w:right w:val="nil"/>
                <w:between w:val="nil"/>
              </w:pBdr>
              <w:rPr>
                <w:color w:val="000000"/>
              </w:rPr>
            </w:pPr>
            <w:proofErr w:type="gramStart"/>
            <w:r>
              <w:rPr>
                <w:rFonts w:eastAsia="Calibri"/>
                <w:color w:val="000000"/>
              </w:rPr>
              <w:t>臺</w:t>
            </w:r>
            <w:proofErr w:type="gramEnd"/>
            <w:r>
              <w:rPr>
                <w:rFonts w:eastAsia="Calibri"/>
                <w:color w:val="000000"/>
              </w:rPr>
              <w:t>北榮民總醫院神經內科</w:t>
            </w:r>
          </w:p>
          <w:p w14:paraId="16E8CC68" w14:textId="77777777" w:rsidR="00125801" w:rsidRDefault="00000000">
            <w:pPr>
              <w:pBdr>
                <w:top w:val="nil"/>
                <w:left w:val="nil"/>
                <w:bottom w:val="nil"/>
                <w:right w:val="nil"/>
                <w:between w:val="nil"/>
              </w:pBdr>
              <w:rPr>
                <w:color w:val="000000"/>
              </w:rPr>
            </w:pPr>
            <w:proofErr w:type="gramStart"/>
            <w:r>
              <w:rPr>
                <w:rFonts w:eastAsia="Calibri"/>
                <w:color w:val="000000"/>
              </w:rPr>
              <w:t>臺</w:t>
            </w:r>
            <w:proofErr w:type="gramEnd"/>
            <w:r>
              <w:rPr>
                <w:rFonts w:eastAsia="Calibri"/>
                <w:color w:val="000000"/>
              </w:rPr>
              <w:t>中榮民總醫院失智症中心</w:t>
            </w:r>
          </w:p>
          <w:p w14:paraId="7BF67F7B" w14:textId="77777777" w:rsidR="00125801" w:rsidRDefault="00000000">
            <w:pPr>
              <w:pBdr>
                <w:top w:val="nil"/>
                <w:left w:val="nil"/>
                <w:bottom w:val="nil"/>
                <w:right w:val="nil"/>
                <w:between w:val="nil"/>
              </w:pBdr>
              <w:rPr>
                <w:color w:val="000000"/>
              </w:rPr>
            </w:pPr>
            <w:r>
              <w:rPr>
                <w:rFonts w:eastAsia="Calibri"/>
                <w:color w:val="000000"/>
              </w:rPr>
              <w:t>臺北市立聯合醫院失智症中心</w:t>
            </w:r>
          </w:p>
          <w:p w14:paraId="3A857963" w14:textId="77777777" w:rsidR="00125801" w:rsidRDefault="00000000">
            <w:pPr>
              <w:pBdr>
                <w:top w:val="nil"/>
                <w:left w:val="nil"/>
                <w:bottom w:val="nil"/>
                <w:right w:val="nil"/>
                <w:between w:val="nil"/>
              </w:pBdr>
              <w:rPr>
                <w:color w:val="000000"/>
              </w:rPr>
            </w:pPr>
            <w:proofErr w:type="gramStart"/>
            <w:r>
              <w:rPr>
                <w:rFonts w:eastAsia="Calibri"/>
                <w:color w:val="000000"/>
              </w:rPr>
              <w:t>臺</w:t>
            </w:r>
            <w:proofErr w:type="gramEnd"/>
            <w:r>
              <w:rPr>
                <w:rFonts w:eastAsia="Calibri"/>
                <w:color w:val="000000"/>
              </w:rPr>
              <w:t>北醫學大學醫學院</w:t>
            </w:r>
          </w:p>
        </w:tc>
      </w:tr>
      <w:tr w:rsidR="00125801" w14:paraId="237FA45D" w14:textId="77777777">
        <w:tc>
          <w:tcPr>
            <w:tcW w:w="1413" w:type="dxa"/>
          </w:tcPr>
          <w:p w14:paraId="50D46CDB" w14:textId="77777777" w:rsidR="00125801" w:rsidRDefault="00000000">
            <w:pPr>
              <w:pBdr>
                <w:top w:val="nil"/>
                <w:left w:val="nil"/>
                <w:bottom w:val="nil"/>
                <w:right w:val="nil"/>
                <w:between w:val="nil"/>
              </w:pBdr>
              <w:rPr>
                <w:color w:val="000000"/>
              </w:rPr>
            </w:pPr>
            <w:r>
              <w:rPr>
                <w:rFonts w:eastAsia="Calibri"/>
                <w:color w:val="000000"/>
              </w:rPr>
              <w:t>聯絡人</w:t>
            </w:r>
          </w:p>
        </w:tc>
        <w:tc>
          <w:tcPr>
            <w:tcW w:w="6883" w:type="dxa"/>
          </w:tcPr>
          <w:p w14:paraId="0060FABC" w14:textId="77777777" w:rsidR="00125801" w:rsidRDefault="00000000">
            <w:pPr>
              <w:pBdr>
                <w:top w:val="nil"/>
                <w:left w:val="nil"/>
                <w:bottom w:val="nil"/>
                <w:right w:val="nil"/>
                <w:between w:val="nil"/>
              </w:pBdr>
              <w:rPr>
                <w:color w:val="000000"/>
              </w:rPr>
            </w:pPr>
            <w:r>
              <w:rPr>
                <w:rFonts w:eastAsia="Calibri"/>
                <w:color w:val="000000"/>
              </w:rPr>
              <w:t>黃立楷 (雙和醫院 失智症中心)</w:t>
            </w:r>
          </w:p>
        </w:tc>
      </w:tr>
      <w:tr w:rsidR="00125801" w14:paraId="4C8C377E" w14:textId="77777777">
        <w:trPr>
          <w:trHeight w:val="624"/>
        </w:trPr>
        <w:tc>
          <w:tcPr>
            <w:tcW w:w="1413" w:type="dxa"/>
          </w:tcPr>
          <w:p w14:paraId="72D141C0" w14:textId="77777777" w:rsidR="00125801" w:rsidRDefault="00000000">
            <w:pPr>
              <w:pBdr>
                <w:top w:val="nil"/>
                <w:left w:val="nil"/>
                <w:bottom w:val="nil"/>
                <w:right w:val="nil"/>
                <w:between w:val="nil"/>
              </w:pBdr>
              <w:rPr>
                <w:color w:val="000000"/>
                <w:sz w:val="22"/>
                <w:szCs w:val="22"/>
              </w:rPr>
            </w:pPr>
            <w:r>
              <w:rPr>
                <w:rFonts w:eastAsia="Calibri"/>
                <w:color w:val="000000"/>
                <w:sz w:val="22"/>
                <w:szCs w:val="22"/>
              </w:rPr>
              <w:t>聯絡方式</w:t>
            </w:r>
          </w:p>
        </w:tc>
        <w:tc>
          <w:tcPr>
            <w:tcW w:w="6883" w:type="dxa"/>
          </w:tcPr>
          <w:p w14:paraId="60D4534A" w14:textId="77777777" w:rsidR="00125801" w:rsidRDefault="00000000">
            <w:pPr>
              <w:pBdr>
                <w:top w:val="nil"/>
                <w:left w:val="nil"/>
                <w:bottom w:val="nil"/>
                <w:right w:val="nil"/>
                <w:between w:val="nil"/>
              </w:pBdr>
              <w:rPr>
                <w:rFonts w:ascii="微軟正黑體" w:eastAsia="微軟正黑體" w:hAnsi="微軟正黑體" w:cs="微軟正黑體"/>
                <w:color w:val="000000"/>
                <w:sz w:val="22"/>
                <w:szCs w:val="22"/>
              </w:rPr>
            </w:pPr>
            <w:r>
              <w:rPr>
                <w:rFonts w:ascii="微軟正黑體" w:eastAsia="微軟正黑體" w:hAnsi="微軟正黑體" w:cs="微軟正黑體"/>
                <w:color w:val="000000"/>
                <w:sz w:val="22"/>
                <w:szCs w:val="22"/>
              </w:rPr>
              <w:t>0970746913 greatoriole@gmail.com</w:t>
            </w:r>
          </w:p>
        </w:tc>
      </w:tr>
    </w:tbl>
    <w:p w14:paraId="3A39AF0C" w14:textId="77777777" w:rsidR="00125801" w:rsidRDefault="00125801"/>
    <w:sectPr w:rsidR="00125801">
      <w:pgSz w:w="11906" w:h="16838"/>
      <w:pgMar w:top="1440" w:right="1800"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6ED9" w14:textId="77777777" w:rsidR="00FF039F" w:rsidRDefault="00FF039F" w:rsidP="00A67B15">
      <w:r>
        <w:separator/>
      </w:r>
    </w:p>
  </w:endnote>
  <w:endnote w:type="continuationSeparator" w:id="0">
    <w:p w14:paraId="1A3FF2B8" w14:textId="77777777" w:rsidR="00FF039F" w:rsidRDefault="00FF039F" w:rsidP="00A6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ED930" w14:textId="77777777" w:rsidR="00FF039F" w:rsidRDefault="00FF039F" w:rsidP="00A67B15">
      <w:r>
        <w:separator/>
      </w:r>
    </w:p>
  </w:footnote>
  <w:footnote w:type="continuationSeparator" w:id="0">
    <w:p w14:paraId="078F5800" w14:textId="77777777" w:rsidR="00FF039F" w:rsidRDefault="00FF039F" w:rsidP="00A67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801"/>
    <w:rsid w:val="00125801"/>
    <w:rsid w:val="00A67B15"/>
    <w:rsid w:val="00FF03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566EC"/>
  <w15:docId w15:val="{E03B5D4B-A79C-454F-B9F3-95B4F750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AB62FF"/>
    <w:pPr>
      <w:tabs>
        <w:tab w:val="center" w:pos="4153"/>
        <w:tab w:val="right" w:pos="8306"/>
      </w:tabs>
      <w:snapToGrid w:val="0"/>
    </w:pPr>
    <w:rPr>
      <w:sz w:val="20"/>
      <w:szCs w:val="20"/>
    </w:rPr>
  </w:style>
  <w:style w:type="character" w:customStyle="1" w:styleId="a5">
    <w:name w:val="頁首 字元"/>
    <w:basedOn w:val="a0"/>
    <w:link w:val="a4"/>
    <w:uiPriority w:val="99"/>
    <w:rsid w:val="00AB62FF"/>
    <w:rPr>
      <w:sz w:val="20"/>
      <w:szCs w:val="20"/>
    </w:rPr>
  </w:style>
  <w:style w:type="paragraph" w:styleId="a6">
    <w:name w:val="footer"/>
    <w:basedOn w:val="a"/>
    <w:link w:val="a7"/>
    <w:uiPriority w:val="99"/>
    <w:unhideWhenUsed/>
    <w:rsid w:val="00AB62FF"/>
    <w:pPr>
      <w:tabs>
        <w:tab w:val="center" w:pos="4153"/>
        <w:tab w:val="right" w:pos="8306"/>
      </w:tabs>
      <w:snapToGrid w:val="0"/>
    </w:pPr>
    <w:rPr>
      <w:sz w:val="20"/>
      <w:szCs w:val="20"/>
    </w:rPr>
  </w:style>
  <w:style w:type="character" w:customStyle="1" w:styleId="a7">
    <w:name w:val="頁尾 字元"/>
    <w:basedOn w:val="a0"/>
    <w:link w:val="a6"/>
    <w:uiPriority w:val="99"/>
    <w:rsid w:val="00AB62FF"/>
    <w:rPr>
      <w:sz w:val="20"/>
      <w:szCs w:val="20"/>
    </w:rPr>
  </w:style>
  <w:style w:type="table" w:styleId="a8">
    <w:name w:val="Table Grid"/>
    <w:basedOn w:val="a1"/>
    <w:uiPriority w:val="39"/>
    <w:rsid w:val="00AB6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ion-enable-hover">
    <w:name w:val="notion-enable-hover"/>
    <w:basedOn w:val="a0"/>
    <w:rsid w:val="00AB62FF"/>
  </w:style>
  <w:style w:type="character" w:customStyle="1" w:styleId="link-annotation-unknown-block-id-1941035117">
    <w:name w:val="link-annotation-unknown-block-id-1941035117"/>
    <w:basedOn w:val="a0"/>
    <w:rsid w:val="00AB62FF"/>
  </w:style>
  <w:style w:type="paragraph" w:styleId="a9">
    <w:name w:val="No Spacing"/>
    <w:uiPriority w:val="1"/>
    <w:qFormat/>
    <w:rsid w:val="000E5CAA"/>
  </w:style>
  <w:style w:type="character" w:customStyle="1" w:styleId="symbol">
    <w:name w:val="symbol"/>
    <w:basedOn w:val="a0"/>
    <w:rsid w:val="00A07207"/>
  </w:style>
  <w:style w:type="character" w:styleId="aa">
    <w:name w:val="Emphasis"/>
    <w:basedOn w:val="a0"/>
    <w:uiPriority w:val="20"/>
    <w:qFormat/>
    <w:rsid w:val="00A07207"/>
    <w:rPr>
      <w:i/>
      <w:iCs/>
    </w:rPr>
  </w:style>
  <w:style w:type="character" w:styleId="ab">
    <w:name w:val="Hyperlink"/>
    <w:basedOn w:val="a0"/>
    <w:uiPriority w:val="99"/>
    <w:unhideWhenUsed/>
    <w:rsid w:val="00764E1F"/>
    <w:rPr>
      <w:color w:val="0563C1" w:themeColor="hyperlink"/>
      <w:u w:val="single"/>
    </w:rPr>
  </w:style>
  <w:style w:type="paragraph" w:customStyle="1" w:styleId="04xlpa">
    <w:name w:val="_04xlpa"/>
    <w:basedOn w:val="a"/>
    <w:rsid w:val="00DA7FD9"/>
    <w:pPr>
      <w:widowControl/>
      <w:spacing w:before="100" w:beforeAutospacing="1" w:after="100" w:afterAutospacing="1"/>
    </w:pPr>
    <w:rPr>
      <w:rFonts w:ascii="新細明體" w:eastAsia="新細明體" w:hAnsi="新細明體" w:cs="新細明體"/>
    </w:rPr>
  </w:style>
  <w:style w:type="character" w:customStyle="1" w:styleId="jsgrdq">
    <w:name w:val="jsgrdq"/>
    <w:basedOn w:val="a0"/>
    <w:rsid w:val="00DA7FD9"/>
  </w:style>
  <w:style w:type="character" w:customStyle="1" w:styleId="10">
    <w:name w:val="未解析的提及1"/>
    <w:basedOn w:val="a0"/>
    <w:uiPriority w:val="99"/>
    <w:semiHidden/>
    <w:unhideWhenUsed/>
    <w:rsid w:val="00DA7FD9"/>
    <w:rPr>
      <w:color w:val="605E5C"/>
      <w:shd w:val="clear" w:color="auto" w:fill="E1DFDD"/>
    </w:rPr>
  </w:style>
  <w:style w:type="paragraph" w:styleId="ac">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d">
    <w:basedOn w:val="TableNormal0"/>
    <w:tblPr>
      <w:tblStyleRowBandSize w:val="1"/>
      <w:tblStyleColBandSize w:val="1"/>
      <w:tblCellMar>
        <w:top w:w="0" w:type="dxa"/>
        <w:left w:w="108" w:type="dxa"/>
        <w:bottom w:w="0" w:type="dxa"/>
        <w:right w:w="108" w:type="dxa"/>
      </w:tblCellMar>
    </w:tblPr>
  </w:style>
  <w:style w:type="table" w:customStyle="1" w:styleId="ae">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CDhYgrVrLu2HwwZZtfaZ5qhWlw==">AMUW2mXcBS69OMzgUaYNsSpkIngsbOZ0vjlJ2DNgthKArELlFoBrIn2MsQhPkoQ3VwUdbsxNQqbbGrTBp7z6z3g9AdSVg31lhk6D1X6VXWqBCwMdN5kemdw=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Liu</dc:creator>
  <cp:lastModifiedBy>likai huang</cp:lastModifiedBy>
  <cp:revision>2</cp:revision>
  <dcterms:created xsi:type="dcterms:W3CDTF">2023-06-26T08:45:00Z</dcterms:created>
  <dcterms:modified xsi:type="dcterms:W3CDTF">2023-06-26T08:45:00Z</dcterms:modified>
</cp:coreProperties>
</file>