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E1" w:rsidRDefault="00D47C9B">
      <w:pPr>
        <w:rPr>
          <w:rFonts w:ascii="Microsoft JhengHei" w:eastAsia="Microsoft JhengHei" w:hAnsi="Microsoft JhengHei" w:cs="Microsoft JhengHei"/>
          <w:b/>
          <w:sz w:val="28"/>
          <w:szCs w:val="28"/>
        </w:rPr>
      </w:pPr>
      <w:r>
        <w:rPr>
          <w:rFonts w:ascii="Microsoft JhengHei" w:eastAsia="Microsoft JhengHei" w:hAnsi="Microsoft JhengHei" w:cs="Microsoft JhengHei"/>
          <w:b/>
          <w:sz w:val="28"/>
          <w:szCs w:val="28"/>
        </w:rPr>
        <w:t>大師講堂</w:t>
      </w:r>
      <w:r>
        <w:rPr>
          <w:rFonts w:ascii="Microsoft JhengHei" w:eastAsia="Microsoft JhengHei" w:hAnsi="Microsoft JhengHei" w:cs="Microsoft JhengHei"/>
          <w:b/>
          <w:sz w:val="28"/>
          <w:szCs w:val="28"/>
        </w:rPr>
        <w:t>-</w:t>
      </w:r>
      <w:r>
        <w:rPr>
          <w:rFonts w:ascii="Microsoft JhengHei" w:eastAsia="Microsoft JhengHei" w:hAnsi="Microsoft JhengHei" w:cs="Microsoft JhengHei"/>
          <w:b/>
          <w:sz w:val="28"/>
          <w:szCs w:val="28"/>
        </w:rPr>
        <w:t>失智症研究前沿系列講座</w:t>
      </w:r>
      <w:r>
        <w:rPr>
          <w:rFonts w:ascii="Microsoft JhengHei" w:eastAsia="Microsoft JhengHei" w:hAnsi="Microsoft JhengHei" w:cs="Microsoft JhengHei"/>
          <w:b/>
          <w:sz w:val="28"/>
          <w:szCs w:val="28"/>
        </w:rPr>
        <w:t xml:space="preserve"> </w:t>
      </w:r>
      <w:r>
        <w:rPr>
          <w:rFonts w:ascii="Microsoft JhengHei" w:eastAsia="Microsoft JhengHei" w:hAnsi="Microsoft JhengHei" w:cs="Microsoft JhengHei"/>
          <w:b/>
          <w:sz w:val="28"/>
          <w:szCs w:val="28"/>
        </w:rPr>
        <w:t>課程表</w:t>
      </w:r>
    </w:p>
    <w:p w:rsidR="00155EE1" w:rsidRDefault="00D47C9B">
      <w:pPr>
        <w:rPr>
          <w:rFonts w:ascii="Microsoft JhengHei" w:eastAsia="Microsoft JhengHei" w:hAnsi="Microsoft JhengHei" w:cs="Microsoft JhengHei"/>
          <w:b/>
          <w:sz w:val="28"/>
          <w:szCs w:val="28"/>
        </w:rPr>
      </w:pPr>
      <w:r>
        <w:rPr>
          <w:rFonts w:ascii="Microsoft JhengHei" w:eastAsia="Microsoft JhengHei" w:hAnsi="Microsoft JhengHei" w:cs="Microsoft JhengHei"/>
          <w:b/>
          <w:sz w:val="28"/>
          <w:szCs w:val="28"/>
        </w:rPr>
        <w:t>Frontiers in Dementia Research—Master Lectures</w:t>
      </w:r>
    </w:p>
    <w:tbl>
      <w:tblPr>
        <w:tblStyle w:val="ae"/>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883"/>
      </w:tblGrid>
      <w:tr w:rsidR="00155EE1">
        <w:tc>
          <w:tcPr>
            <w:tcW w:w="1413" w:type="dxa"/>
          </w:tcPr>
          <w:p w:rsidR="00155EE1" w:rsidRDefault="00D47C9B">
            <w:pPr>
              <w:pBdr>
                <w:top w:val="nil"/>
                <w:left w:val="nil"/>
                <w:bottom w:val="nil"/>
                <w:right w:val="nil"/>
                <w:between w:val="nil"/>
              </w:pBdr>
              <w:rPr>
                <w:color w:val="000000"/>
              </w:rPr>
            </w:pPr>
            <w:r>
              <w:rPr>
                <w:rFonts w:eastAsia="Calibri"/>
                <w:color w:val="000000"/>
              </w:rPr>
              <w:t>課程時間</w:t>
            </w:r>
          </w:p>
        </w:tc>
        <w:tc>
          <w:tcPr>
            <w:tcW w:w="6883" w:type="dxa"/>
            <w:tcBorders>
              <w:bottom w:val="single" w:sz="7" w:space="0" w:color="000000"/>
            </w:tcBorders>
          </w:tcPr>
          <w:p w:rsidR="00155EE1" w:rsidRDefault="00D47C9B" w:rsidP="00D47C9B">
            <w:pPr>
              <w:pBdr>
                <w:top w:val="nil"/>
                <w:left w:val="nil"/>
                <w:bottom w:val="nil"/>
                <w:right w:val="nil"/>
                <w:between w:val="nil"/>
              </w:pBdr>
              <w:rPr>
                <w:color w:val="000000"/>
              </w:rPr>
            </w:pPr>
            <w:r>
              <w:rPr>
                <w:rFonts w:eastAsia="Calibri"/>
                <w:color w:val="000000"/>
              </w:rPr>
              <w:t>112</w:t>
            </w:r>
            <w:r>
              <w:rPr>
                <w:rFonts w:ascii="細明體" w:eastAsia="細明體" w:hAnsi="細明體" w:cs="細明體" w:hint="eastAsia"/>
                <w:color w:val="000000"/>
              </w:rPr>
              <w:t>年</w:t>
            </w:r>
            <w:r>
              <w:rPr>
                <w:rFonts w:hint="eastAsia"/>
              </w:rPr>
              <w:t>10</w:t>
            </w:r>
            <w:r>
              <w:rPr>
                <w:rFonts w:ascii="細明體" w:eastAsia="細明體" w:hAnsi="細明體" w:cs="細明體" w:hint="eastAsia"/>
                <w:color w:val="000000"/>
              </w:rPr>
              <w:t>月</w:t>
            </w:r>
            <w:r>
              <w:rPr>
                <w:rFonts w:hint="eastAsia"/>
              </w:rPr>
              <w:t>13</w:t>
            </w:r>
            <w:bookmarkStart w:id="0" w:name="_GoBack"/>
            <w:bookmarkEnd w:id="0"/>
            <w:r>
              <w:rPr>
                <w:rFonts w:ascii="細明體" w:eastAsia="細明體" w:hAnsi="細明體" w:cs="細明體" w:hint="eastAsia"/>
                <w:color w:val="000000"/>
              </w:rPr>
              <w:t>日</w:t>
            </w:r>
            <w:r>
              <w:rPr>
                <w:rFonts w:eastAsia="Calibri"/>
                <w:color w:val="000000"/>
              </w:rPr>
              <w:t xml:space="preserve"> 12</w:t>
            </w:r>
            <w:r>
              <w:rPr>
                <w:rFonts w:ascii="細明體" w:eastAsia="細明體" w:hAnsi="細明體" w:cs="細明體" w:hint="eastAsia"/>
                <w:color w:val="000000"/>
              </w:rPr>
              <w:t>：</w:t>
            </w:r>
            <w:r>
              <w:rPr>
                <w:rFonts w:eastAsia="Calibri"/>
                <w:color w:val="000000"/>
              </w:rPr>
              <w:t>30~13</w:t>
            </w:r>
            <w:r>
              <w:rPr>
                <w:rFonts w:ascii="細明體" w:eastAsia="細明體" w:hAnsi="細明體" w:cs="細明體" w:hint="eastAsia"/>
                <w:color w:val="000000"/>
              </w:rPr>
              <w:t>：</w:t>
            </w:r>
            <w:r>
              <w:rPr>
                <w:rFonts w:eastAsia="Calibri"/>
                <w:color w:val="000000"/>
              </w:rPr>
              <w:t>30</w:t>
            </w:r>
          </w:p>
        </w:tc>
      </w:tr>
      <w:tr w:rsidR="00155EE1">
        <w:tc>
          <w:tcPr>
            <w:tcW w:w="1413" w:type="dxa"/>
            <w:tcBorders>
              <w:right w:val="single" w:sz="7" w:space="0" w:color="000000"/>
            </w:tcBorders>
          </w:tcPr>
          <w:p w:rsidR="00155EE1" w:rsidRDefault="00D47C9B">
            <w:pPr>
              <w:pBdr>
                <w:top w:val="nil"/>
                <w:left w:val="nil"/>
                <w:bottom w:val="nil"/>
                <w:right w:val="nil"/>
                <w:between w:val="nil"/>
              </w:pBdr>
              <w:rPr>
                <w:color w:val="000000"/>
              </w:rPr>
            </w:pPr>
            <w:r>
              <w:rPr>
                <w:rFonts w:eastAsia="Calibri"/>
                <w:color w:val="000000"/>
              </w:rPr>
              <w:t>課程地點</w:t>
            </w:r>
          </w:p>
        </w:tc>
        <w:tc>
          <w:tcPr>
            <w:tcW w:w="6883" w:type="dxa"/>
            <w:tcBorders>
              <w:top w:val="single" w:sz="7" w:space="0" w:color="000000"/>
              <w:left w:val="single" w:sz="7" w:space="0" w:color="000000"/>
              <w:bottom w:val="single" w:sz="7" w:space="0" w:color="000000"/>
              <w:right w:val="single" w:sz="7" w:space="0" w:color="000000"/>
            </w:tcBorders>
            <w:tcMar>
              <w:top w:w="160" w:type="dxa"/>
              <w:left w:w="160" w:type="dxa"/>
              <w:bottom w:w="160" w:type="dxa"/>
              <w:right w:w="160" w:type="dxa"/>
            </w:tcMar>
          </w:tcPr>
          <w:p w:rsidR="00155EE1" w:rsidRDefault="00D47C9B">
            <w:pPr>
              <w:rPr>
                <w:color w:val="0563C1"/>
                <w:u w:val="single"/>
              </w:rPr>
            </w:pPr>
            <w:proofErr w:type="spellStart"/>
            <w:r>
              <w:rPr>
                <w:b/>
                <w:color w:val="222222"/>
              </w:rPr>
              <w:t>Webex</w:t>
            </w:r>
            <w:proofErr w:type="spellEnd"/>
            <w:r>
              <w:rPr>
                <w:b/>
                <w:color w:val="222222"/>
              </w:rPr>
              <w:t xml:space="preserve"> meeting room</w:t>
            </w:r>
            <w:r>
              <w:rPr>
                <w:color w:val="222222"/>
              </w:rPr>
              <w:t>：</w:t>
            </w:r>
            <w:r>
              <w:fldChar w:fldCharType="begin"/>
            </w:r>
            <w:r>
              <w:instrText xml:space="preserve"> HYPERLINK "https://taipeimedicaluniversityshuanghohospitalministryofhealth.my.webex.com/meet/pr1585279471" \h </w:instrText>
            </w:r>
            <w:r>
              <w:fldChar w:fldCharType="separate"/>
            </w:r>
            <w:r>
              <w:rPr>
                <w:color w:val="0563C1"/>
                <w:u w:val="single"/>
              </w:rPr>
              <w:t>https://taipeimedicaluniversityshuanghohospitalministryofhealth.my.webex.com/meet/pr1585279471</w:t>
            </w:r>
            <w:r>
              <w:rPr>
                <w:color w:val="0563C1"/>
                <w:u w:val="single"/>
              </w:rPr>
              <w:fldChar w:fldCharType="end"/>
            </w:r>
          </w:p>
          <w:p w:rsidR="00155EE1" w:rsidRDefault="00D47C9B">
            <w:pPr>
              <w:rPr>
                <w:color w:val="222222"/>
              </w:rPr>
            </w:pPr>
            <w:r>
              <w:rPr>
                <w:b/>
                <w:color w:val="222222"/>
              </w:rPr>
              <w:t>meeting room number</w:t>
            </w:r>
            <w:r>
              <w:rPr>
                <w:color w:val="222222"/>
              </w:rPr>
              <w:t>：</w:t>
            </w:r>
            <w:r>
              <w:rPr>
                <w:color w:val="222222"/>
              </w:rPr>
              <w:t>1585 27 9471</w:t>
            </w:r>
          </w:p>
        </w:tc>
      </w:tr>
      <w:tr w:rsidR="00155EE1">
        <w:tc>
          <w:tcPr>
            <w:tcW w:w="1413" w:type="dxa"/>
          </w:tcPr>
          <w:p w:rsidR="00155EE1" w:rsidRDefault="00D47C9B">
            <w:pPr>
              <w:pBdr>
                <w:top w:val="nil"/>
                <w:left w:val="nil"/>
                <w:bottom w:val="nil"/>
                <w:right w:val="nil"/>
                <w:between w:val="nil"/>
              </w:pBdr>
              <w:rPr>
                <w:color w:val="000000"/>
              </w:rPr>
            </w:pPr>
            <w:r>
              <w:rPr>
                <w:rFonts w:eastAsia="Calibri"/>
                <w:color w:val="000000"/>
              </w:rPr>
              <w:t>主題</w:t>
            </w:r>
          </w:p>
        </w:tc>
        <w:tc>
          <w:tcPr>
            <w:tcW w:w="6883" w:type="dxa"/>
            <w:tcBorders>
              <w:top w:val="single" w:sz="7" w:space="0" w:color="000000"/>
            </w:tcBorders>
          </w:tcPr>
          <w:p w:rsidR="00155EE1" w:rsidRDefault="00D47C9B">
            <w:pPr>
              <w:pBdr>
                <w:top w:val="nil"/>
                <w:left w:val="nil"/>
                <w:bottom w:val="nil"/>
                <w:right w:val="nil"/>
                <w:between w:val="nil"/>
              </w:pBdr>
              <w:rPr>
                <w:color w:val="000000"/>
                <w:highlight w:val="white"/>
              </w:rPr>
            </w:pPr>
            <w:r>
              <w:rPr>
                <w:rFonts w:eastAsia="Calibri"/>
                <w:color w:val="000000"/>
                <w:highlight w:val="white"/>
              </w:rPr>
              <w:t>Frontiers in Dementia Research—Master Lectures</w:t>
            </w:r>
          </w:p>
        </w:tc>
      </w:tr>
      <w:tr w:rsidR="00155EE1">
        <w:tc>
          <w:tcPr>
            <w:tcW w:w="1413" w:type="dxa"/>
          </w:tcPr>
          <w:p w:rsidR="00155EE1" w:rsidRDefault="00D47C9B">
            <w:pPr>
              <w:pBdr>
                <w:top w:val="nil"/>
                <w:left w:val="nil"/>
                <w:bottom w:val="nil"/>
                <w:right w:val="nil"/>
                <w:between w:val="nil"/>
              </w:pBdr>
              <w:rPr>
                <w:highlight w:val="white"/>
              </w:rPr>
            </w:pPr>
            <w:r>
              <w:rPr>
                <w:highlight w:val="white"/>
              </w:rPr>
              <w:t>講師</w:t>
            </w:r>
          </w:p>
        </w:tc>
        <w:tc>
          <w:tcPr>
            <w:tcW w:w="6883" w:type="dxa"/>
          </w:tcPr>
          <w:p w:rsidR="00155EE1" w:rsidRPr="00D47C9B" w:rsidRDefault="00D47C9B" w:rsidP="00D47C9B">
            <w:pPr>
              <w:rPr>
                <w:rFonts w:ascii="新細明體" w:eastAsia="新細明體" w:hAnsi="新細明體" w:cs="新細明體"/>
              </w:rPr>
            </w:pPr>
            <w:r w:rsidRPr="00D47C9B">
              <w:rPr>
                <w:rFonts w:eastAsia="Calibri"/>
                <w:color w:val="000000"/>
                <w:highlight w:val="white"/>
              </w:rPr>
              <w:t xml:space="preserve">Prof. Marwan Noel </w:t>
            </w:r>
            <w:proofErr w:type="spellStart"/>
            <w:r w:rsidRPr="00D47C9B">
              <w:rPr>
                <w:rFonts w:eastAsia="Calibri"/>
                <w:color w:val="000000"/>
                <w:highlight w:val="white"/>
              </w:rPr>
              <w:t>Sabbagh</w:t>
            </w:r>
            <w:proofErr w:type="spellEnd"/>
            <w:r w:rsidRPr="00D47C9B">
              <w:rPr>
                <w:rFonts w:eastAsia="Calibri"/>
                <w:color w:val="000000"/>
                <w:highlight w:val="white"/>
              </w:rPr>
              <w:t xml:space="preserve"> </w:t>
            </w:r>
          </w:p>
        </w:tc>
      </w:tr>
      <w:tr w:rsidR="00155EE1">
        <w:trPr>
          <w:trHeight w:val="652"/>
        </w:trPr>
        <w:tc>
          <w:tcPr>
            <w:tcW w:w="1413" w:type="dxa"/>
          </w:tcPr>
          <w:p w:rsidR="00155EE1" w:rsidRDefault="00D47C9B">
            <w:pPr>
              <w:pBdr>
                <w:top w:val="nil"/>
                <w:left w:val="nil"/>
                <w:bottom w:val="nil"/>
                <w:right w:val="nil"/>
                <w:between w:val="nil"/>
              </w:pBdr>
              <w:rPr>
                <w:color w:val="000000"/>
              </w:rPr>
            </w:pPr>
            <w:r>
              <w:rPr>
                <w:rFonts w:eastAsia="Calibri"/>
                <w:color w:val="000000"/>
              </w:rPr>
              <w:t>講師簡歷</w:t>
            </w:r>
          </w:p>
        </w:tc>
        <w:tc>
          <w:tcPr>
            <w:tcW w:w="6883" w:type="dxa"/>
          </w:tcPr>
          <w:p w:rsidR="00155EE1" w:rsidRDefault="00D47C9B">
            <w:pPr>
              <w:pBdr>
                <w:top w:val="nil"/>
                <w:left w:val="nil"/>
                <w:bottom w:val="nil"/>
                <w:right w:val="nil"/>
                <w:between w:val="nil"/>
              </w:pBdr>
              <w:rPr>
                <w:b/>
              </w:rPr>
            </w:pPr>
            <w:r>
              <w:rPr>
                <w:b/>
              </w:rPr>
              <w:t xml:space="preserve">Affiliation(s): </w:t>
            </w:r>
          </w:p>
          <w:p w:rsidR="00D47C9B" w:rsidRDefault="00D47C9B" w:rsidP="00D47C9B">
            <w:pPr>
              <w:pBdr>
                <w:top w:val="nil"/>
                <w:left w:val="nil"/>
                <w:bottom w:val="nil"/>
                <w:right w:val="nil"/>
                <w:between w:val="nil"/>
              </w:pBdr>
            </w:pPr>
            <w:r>
              <w:t xml:space="preserve">Marwan </w:t>
            </w:r>
            <w:proofErr w:type="spellStart"/>
            <w:r>
              <w:t>Sabbagh</w:t>
            </w:r>
            <w:proofErr w:type="spellEnd"/>
            <w:r>
              <w:t>, MD, is a behavioral neurologist in the Alzheimer’s and Memory Disorders Program at Barrow Neurological Institute. He is also a professor and the Vice Chair of Research in the Institute’s Department of Neurology. He is board certified in neurology by the American Board of Psychiatry and Neurology.</w:t>
            </w:r>
          </w:p>
          <w:p w:rsidR="00D47C9B" w:rsidRDefault="00D47C9B" w:rsidP="00D47C9B">
            <w:pPr>
              <w:pBdr>
                <w:top w:val="nil"/>
                <w:left w:val="nil"/>
                <w:bottom w:val="nil"/>
                <w:right w:val="nil"/>
                <w:between w:val="nil"/>
              </w:pBdr>
            </w:pPr>
            <w:r>
              <w:t xml:space="preserve">Dr. </w:t>
            </w:r>
            <w:proofErr w:type="spellStart"/>
            <w:r>
              <w:t>Sabbagh’s</w:t>
            </w:r>
            <w:proofErr w:type="spellEnd"/>
            <w:r>
              <w:t xml:space="preserve"> expertise includes the diagnosis and treatment of Alzheimer’s disease and other memory disorders. He is a fellow of the American Academy of Neurology.</w:t>
            </w:r>
          </w:p>
          <w:p w:rsidR="00D47C9B" w:rsidRDefault="00D47C9B" w:rsidP="00D47C9B">
            <w:pPr>
              <w:pBdr>
                <w:top w:val="nil"/>
                <w:left w:val="nil"/>
                <w:bottom w:val="nil"/>
                <w:right w:val="nil"/>
                <w:between w:val="nil"/>
              </w:pBdr>
            </w:pPr>
            <w:r>
              <w:t xml:space="preserve">Dr. </w:t>
            </w:r>
            <w:proofErr w:type="spellStart"/>
            <w:r>
              <w:t>Sabbagh</w:t>
            </w:r>
            <w:proofErr w:type="spellEnd"/>
            <w:r>
              <w:t xml:space="preserve"> earned his medical degree from the University of Arizona College of Medicine in Tucson and his undergraduate degree from the University of California—Berkeley. He completed his neurology residency at Baylor College of Medicine in Houston, Texas, and a geriatric neurology and dementia fellowship at the University of California San Diego School of Medicine.</w:t>
            </w:r>
          </w:p>
          <w:p w:rsidR="00155EE1" w:rsidRDefault="00D47C9B" w:rsidP="00D47C9B">
            <w:pPr>
              <w:pBdr>
                <w:top w:val="nil"/>
                <w:left w:val="nil"/>
                <w:bottom w:val="nil"/>
                <w:right w:val="nil"/>
                <w:between w:val="nil"/>
              </w:pBdr>
            </w:pPr>
            <w:r>
              <w:t xml:space="preserve">Dr. </w:t>
            </w:r>
            <w:proofErr w:type="spellStart"/>
            <w:r>
              <w:t>Sabbagh</w:t>
            </w:r>
            <w:proofErr w:type="spellEnd"/>
            <w:r>
              <w:t xml:space="preserve"> is a leading investigator of many prominent national Alzheimer’s prevention and treatment clinical trials. He serves on the editorial boards of the Journal of Alzheimer’s Disease and Alzheimer’s and Dementia: Translational Research &amp; Clinical Interventions. He is the editor-in-chief of Neurology and Therapy. Dr. </w:t>
            </w:r>
            <w:proofErr w:type="spellStart"/>
            <w:r>
              <w:t>Sabbagh</w:t>
            </w:r>
            <w:proofErr w:type="spellEnd"/>
            <w:r>
              <w:t xml:space="preserve"> is a prolific author who has written and edited books on Alzheimer’s disease and has contributed to hundreds of medical and scientific articles.</w:t>
            </w:r>
          </w:p>
        </w:tc>
      </w:tr>
      <w:tr w:rsidR="00155EE1">
        <w:tc>
          <w:tcPr>
            <w:tcW w:w="1413" w:type="dxa"/>
          </w:tcPr>
          <w:p w:rsidR="00155EE1" w:rsidRDefault="00D47C9B">
            <w:pPr>
              <w:pBdr>
                <w:top w:val="nil"/>
                <w:left w:val="nil"/>
                <w:bottom w:val="nil"/>
                <w:right w:val="nil"/>
                <w:between w:val="nil"/>
              </w:pBdr>
              <w:rPr>
                <w:color w:val="000000"/>
              </w:rPr>
            </w:pPr>
            <w:r>
              <w:rPr>
                <w:rFonts w:eastAsia="Calibri"/>
                <w:color w:val="000000"/>
              </w:rPr>
              <w:t>課程摘要</w:t>
            </w:r>
          </w:p>
        </w:tc>
        <w:tc>
          <w:tcPr>
            <w:tcW w:w="6883" w:type="dxa"/>
          </w:tcPr>
          <w:p w:rsidR="00155EE1" w:rsidRDefault="00D47C9B">
            <w:r w:rsidRPr="00D47C9B">
              <w:t xml:space="preserve">The first disease modifying therapies (DMTs) have been shown to have clinical efficacy in slowing the rate of decline in Alzheimer's disease. These include </w:t>
            </w:r>
            <w:proofErr w:type="spellStart"/>
            <w:r w:rsidRPr="00D47C9B">
              <w:t>aducanumab</w:t>
            </w:r>
            <w:proofErr w:type="spellEnd"/>
            <w:r w:rsidRPr="00D47C9B">
              <w:t xml:space="preserve">, </w:t>
            </w:r>
            <w:proofErr w:type="spellStart"/>
            <w:r w:rsidRPr="00D47C9B">
              <w:t>lecanemab</w:t>
            </w:r>
            <w:proofErr w:type="spellEnd"/>
            <w:r w:rsidRPr="00D47C9B">
              <w:t xml:space="preserve"> and </w:t>
            </w:r>
            <w:proofErr w:type="spellStart"/>
            <w:r w:rsidRPr="00D47C9B">
              <w:t>donanemab</w:t>
            </w:r>
            <w:proofErr w:type="spellEnd"/>
            <w:r w:rsidRPr="00D47C9B">
              <w:t xml:space="preserve">. These biological drugs are monoclonal antibodies designed to target and remove amyloid. To date, their efficacy signal is limited to mild cognitive impairment or mild dementia due to AD. In order for a patient to receive these drugs, the provider will need to assess the patient, make a clinical diagnosis, exclude other pathology and abnormalities by MRI, and confirm with biomarkers. The biomarkers required for confirmation include CSF, and PET but might include plasma in the future. Disease specific biomarkers include amyloid, total tau, phosphorylated tau and </w:t>
            </w:r>
            <w:proofErr w:type="spellStart"/>
            <w:r w:rsidRPr="00D47C9B">
              <w:t>neurofilament</w:t>
            </w:r>
            <w:proofErr w:type="spellEnd"/>
            <w:r w:rsidRPr="00D47C9B">
              <w:t xml:space="preserve"> light. AD is beginning the transformation from a terminal disease to a chronic </w:t>
            </w:r>
            <w:r w:rsidRPr="00D47C9B">
              <w:lastRenderedPageBreak/>
              <w:t>disease</w:t>
            </w:r>
          </w:p>
        </w:tc>
      </w:tr>
      <w:tr w:rsidR="00155EE1">
        <w:trPr>
          <w:trHeight w:val="1467"/>
        </w:trPr>
        <w:tc>
          <w:tcPr>
            <w:tcW w:w="1413" w:type="dxa"/>
          </w:tcPr>
          <w:p w:rsidR="00155EE1" w:rsidRDefault="00D47C9B">
            <w:pPr>
              <w:pBdr>
                <w:top w:val="nil"/>
                <w:left w:val="nil"/>
                <w:bottom w:val="nil"/>
                <w:right w:val="nil"/>
                <w:between w:val="nil"/>
              </w:pBdr>
              <w:rPr>
                <w:color w:val="000000"/>
              </w:rPr>
            </w:pPr>
            <w:r>
              <w:rPr>
                <w:rFonts w:eastAsia="Calibri"/>
                <w:color w:val="000000"/>
              </w:rPr>
              <w:lastRenderedPageBreak/>
              <w:t>課程形式</w:t>
            </w:r>
          </w:p>
        </w:tc>
        <w:tc>
          <w:tcPr>
            <w:tcW w:w="6883" w:type="dxa"/>
          </w:tcPr>
          <w:p w:rsidR="00155EE1" w:rsidRDefault="00D47C9B">
            <w:pPr>
              <w:pBdr>
                <w:top w:val="nil"/>
                <w:left w:val="nil"/>
                <w:bottom w:val="nil"/>
                <w:right w:val="nil"/>
                <w:between w:val="nil"/>
              </w:pBdr>
              <w:rPr>
                <w:color w:val="000000"/>
              </w:rPr>
            </w:pPr>
            <w:r>
              <w:rPr>
                <w:rFonts w:eastAsia="Calibri"/>
                <w:color w:val="000000"/>
              </w:rPr>
              <w:t>課程時長</w:t>
            </w:r>
            <w:r>
              <w:rPr>
                <w:rFonts w:eastAsia="Calibri"/>
                <w:color w:val="000000"/>
              </w:rPr>
              <w:t>1</w:t>
            </w:r>
            <w:r>
              <w:rPr>
                <w:rFonts w:eastAsia="Calibri"/>
                <w:color w:val="000000"/>
              </w:rPr>
              <w:t>小時</w:t>
            </w:r>
            <w:r>
              <w:rPr>
                <w:rFonts w:eastAsia="Calibri"/>
                <w:color w:val="000000"/>
              </w:rPr>
              <w:t xml:space="preserve"> (12:30~13:30)</w:t>
            </w:r>
          </w:p>
          <w:p w:rsidR="00155EE1" w:rsidRDefault="00D47C9B">
            <w:pPr>
              <w:pBdr>
                <w:top w:val="nil"/>
                <w:left w:val="nil"/>
                <w:bottom w:val="nil"/>
                <w:right w:val="nil"/>
                <w:between w:val="nil"/>
              </w:pBdr>
            </w:pPr>
            <w:r>
              <w:t xml:space="preserve">Date: </w:t>
            </w:r>
            <w:r>
              <w:rPr>
                <w:rFonts w:hint="eastAsia"/>
              </w:rPr>
              <w:t>October</w:t>
            </w:r>
            <w:r>
              <w:t xml:space="preserve"> </w:t>
            </w:r>
            <w:r>
              <w:rPr>
                <w:rFonts w:hint="eastAsia"/>
              </w:rPr>
              <w:t>13</w:t>
            </w:r>
            <w:r>
              <w:t>th, 2023</w:t>
            </w:r>
          </w:p>
          <w:p w:rsidR="00155EE1" w:rsidRDefault="00D47C9B">
            <w:pPr>
              <w:pBdr>
                <w:top w:val="nil"/>
                <w:left w:val="nil"/>
                <w:bottom w:val="nil"/>
                <w:right w:val="nil"/>
                <w:between w:val="nil"/>
              </w:pBdr>
            </w:pPr>
            <w:r>
              <w:t>Agenda:</w:t>
            </w:r>
          </w:p>
          <w:p w:rsidR="00155EE1" w:rsidRDefault="00D47C9B">
            <w:pPr>
              <w:pBdr>
                <w:top w:val="nil"/>
                <w:left w:val="nil"/>
                <w:bottom w:val="nil"/>
                <w:right w:val="nil"/>
                <w:between w:val="nil"/>
              </w:pBdr>
            </w:pPr>
            <w:r>
              <w:t>12:30-12:35: Opening (online meeting room opens at 12:20 p.m.)</w:t>
            </w:r>
          </w:p>
          <w:p w:rsidR="00D47C9B" w:rsidRDefault="00D47C9B">
            <w:pPr>
              <w:pBdr>
                <w:top w:val="nil"/>
                <w:left w:val="nil"/>
                <w:bottom w:val="nil"/>
                <w:right w:val="nil"/>
                <w:between w:val="nil"/>
              </w:pBdr>
              <w:rPr>
                <w:rFonts w:hint="eastAsia"/>
                <w:color w:val="1F1F1F"/>
              </w:rPr>
            </w:pPr>
            <w:r>
              <w:t xml:space="preserve">12:35-13:15: </w:t>
            </w:r>
            <w:r w:rsidRPr="00D47C9B">
              <w:rPr>
                <w:color w:val="1F1F1F"/>
              </w:rPr>
              <w:t>Current and future developments in Alzheimer's research and treatment</w:t>
            </w:r>
          </w:p>
          <w:p w:rsidR="00155EE1" w:rsidRDefault="00D47C9B">
            <w:pPr>
              <w:pBdr>
                <w:top w:val="nil"/>
                <w:left w:val="nil"/>
                <w:bottom w:val="nil"/>
                <w:right w:val="nil"/>
                <w:between w:val="nil"/>
              </w:pBdr>
            </w:pPr>
            <w:r>
              <w:t>13:15-13:30: Q&amp;A session</w:t>
            </w:r>
          </w:p>
          <w:p w:rsidR="00155EE1" w:rsidRDefault="00155EE1">
            <w:pPr>
              <w:pBdr>
                <w:top w:val="nil"/>
                <w:left w:val="nil"/>
                <w:bottom w:val="nil"/>
                <w:right w:val="nil"/>
                <w:between w:val="nil"/>
              </w:pBdr>
            </w:pPr>
          </w:p>
        </w:tc>
      </w:tr>
      <w:tr w:rsidR="00155EE1">
        <w:trPr>
          <w:trHeight w:val="724"/>
        </w:trPr>
        <w:tc>
          <w:tcPr>
            <w:tcW w:w="1413" w:type="dxa"/>
          </w:tcPr>
          <w:p w:rsidR="00155EE1" w:rsidRDefault="00D47C9B">
            <w:pPr>
              <w:pBdr>
                <w:top w:val="nil"/>
                <w:left w:val="nil"/>
                <w:bottom w:val="nil"/>
                <w:right w:val="nil"/>
                <w:between w:val="nil"/>
              </w:pBdr>
              <w:rPr>
                <w:color w:val="000000"/>
              </w:rPr>
            </w:pPr>
            <w:r>
              <w:rPr>
                <w:rFonts w:eastAsia="Calibri"/>
                <w:color w:val="000000"/>
              </w:rPr>
              <w:t>主辦單位</w:t>
            </w:r>
          </w:p>
        </w:tc>
        <w:tc>
          <w:tcPr>
            <w:tcW w:w="6883" w:type="dxa"/>
          </w:tcPr>
          <w:p w:rsidR="00155EE1" w:rsidRDefault="00D47C9B">
            <w:pPr>
              <w:pBdr>
                <w:top w:val="nil"/>
                <w:left w:val="nil"/>
                <w:bottom w:val="nil"/>
                <w:right w:val="nil"/>
                <w:between w:val="nil"/>
              </w:pBdr>
              <w:rPr>
                <w:color w:val="000000"/>
              </w:rPr>
            </w:pPr>
            <w:r>
              <w:rPr>
                <w:rFonts w:eastAsia="Calibri"/>
                <w:color w:val="000000"/>
              </w:rPr>
              <w:t>衛生</w:t>
            </w:r>
            <w:proofErr w:type="gramStart"/>
            <w:r>
              <w:rPr>
                <w:rFonts w:eastAsia="Calibri"/>
                <w:color w:val="000000"/>
              </w:rPr>
              <w:t>福利部雙和</w:t>
            </w:r>
            <w:proofErr w:type="gramEnd"/>
            <w:r>
              <w:rPr>
                <w:rFonts w:eastAsia="Calibri"/>
                <w:color w:val="000000"/>
              </w:rPr>
              <w:t>醫院</w:t>
            </w:r>
            <w:r>
              <w:rPr>
                <w:rFonts w:eastAsia="Calibri"/>
                <w:color w:val="000000"/>
              </w:rPr>
              <w:t>(</w:t>
            </w:r>
            <w:proofErr w:type="gramStart"/>
            <w:r>
              <w:rPr>
                <w:rFonts w:eastAsia="Calibri"/>
                <w:color w:val="000000"/>
              </w:rPr>
              <w:t>臺</w:t>
            </w:r>
            <w:proofErr w:type="gramEnd"/>
            <w:r>
              <w:rPr>
                <w:rFonts w:eastAsia="Calibri"/>
                <w:color w:val="000000"/>
              </w:rPr>
              <w:t>北醫學大學興建經營</w:t>
            </w:r>
            <w:r>
              <w:rPr>
                <w:rFonts w:eastAsia="Calibri"/>
                <w:color w:val="000000"/>
              </w:rPr>
              <w:t xml:space="preserve">) </w:t>
            </w:r>
            <w:r>
              <w:rPr>
                <w:rFonts w:eastAsia="Calibri"/>
                <w:color w:val="000000"/>
              </w:rPr>
              <w:t>失智症中心</w:t>
            </w:r>
          </w:p>
        </w:tc>
      </w:tr>
      <w:tr w:rsidR="00155EE1">
        <w:tc>
          <w:tcPr>
            <w:tcW w:w="1413" w:type="dxa"/>
          </w:tcPr>
          <w:p w:rsidR="00155EE1" w:rsidRDefault="00D47C9B">
            <w:pPr>
              <w:pBdr>
                <w:top w:val="nil"/>
                <w:left w:val="nil"/>
                <w:bottom w:val="nil"/>
                <w:right w:val="nil"/>
                <w:between w:val="nil"/>
              </w:pBdr>
              <w:rPr>
                <w:color w:val="000000"/>
              </w:rPr>
            </w:pPr>
            <w:r>
              <w:rPr>
                <w:rFonts w:eastAsia="Calibri"/>
                <w:color w:val="000000"/>
              </w:rPr>
              <w:t>協辦單位</w:t>
            </w:r>
          </w:p>
        </w:tc>
        <w:tc>
          <w:tcPr>
            <w:tcW w:w="6883" w:type="dxa"/>
          </w:tcPr>
          <w:p w:rsidR="00155EE1" w:rsidRDefault="00D47C9B">
            <w:pPr>
              <w:pBdr>
                <w:top w:val="nil"/>
                <w:left w:val="nil"/>
                <w:bottom w:val="nil"/>
                <w:right w:val="nil"/>
                <w:between w:val="nil"/>
              </w:pBdr>
              <w:rPr>
                <w:color w:val="000000"/>
              </w:rPr>
            </w:pPr>
            <w:r>
              <w:rPr>
                <w:rFonts w:eastAsia="Calibri"/>
                <w:color w:val="000000"/>
              </w:rPr>
              <w:t>衛采製藥股份有限公司</w:t>
            </w:r>
          </w:p>
          <w:p w:rsidR="00155EE1" w:rsidRDefault="00D47C9B">
            <w:pPr>
              <w:pBdr>
                <w:top w:val="nil"/>
                <w:left w:val="nil"/>
                <w:bottom w:val="nil"/>
                <w:right w:val="nil"/>
                <w:between w:val="nil"/>
              </w:pBdr>
              <w:rPr>
                <w:color w:val="000000"/>
              </w:rPr>
            </w:pPr>
            <w:r>
              <w:rPr>
                <w:rFonts w:eastAsia="Calibri"/>
                <w:color w:val="000000"/>
              </w:rPr>
              <w:t>臺灣神經</w:t>
            </w:r>
            <w:proofErr w:type="gramStart"/>
            <w:r>
              <w:rPr>
                <w:rFonts w:eastAsia="Calibri"/>
                <w:color w:val="000000"/>
              </w:rPr>
              <w:t>學</w:t>
            </w:r>
            <w:proofErr w:type="gramEnd"/>
            <w:r>
              <w:rPr>
                <w:rFonts w:eastAsia="Calibri"/>
                <w:color w:val="000000"/>
              </w:rPr>
              <w:t>學會</w:t>
            </w:r>
          </w:p>
          <w:p w:rsidR="00155EE1" w:rsidRDefault="00D47C9B">
            <w:pPr>
              <w:pBdr>
                <w:top w:val="nil"/>
                <w:left w:val="nil"/>
                <w:bottom w:val="nil"/>
                <w:right w:val="nil"/>
                <w:between w:val="nil"/>
              </w:pBdr>
              <w:rPr>
                <w:color w:val="000000"/>
              </w:rPr>
            </w:pPr>
            <w:proofErr w:type="gramStart"/>
            <w:r>
              <w:rPr>
                <w:rFonts w:eastAsia="Calibri"/>
                <w:color w:val="000000"/>
              </w:rPr>
              <w:t>臺</w:t>
            </w:r>
            <w:proofErr w:type="gramEnd"/>
            <w:r>
              <w:rPr>
                <w:rFonts w:eastAsia="Calibri"/>
                <w:color w:val="000000"/>
              </w:rPr>
              <w:t>北榮民總醫院神經內科</w:t>
            </w:r>
          </w:p>
          <w:p w:rsidR="00155EE1" w:rsidRDefault="00D47C9B">
            <w:pPr>
              <w:pBdr>
                <w:top w:val="nil"/>
                <w:left w:val="nil"/>
                <w:bottom w:val="nil"/>
                <w:right w:val="nil"/>
                <w:between w:val="nil"/>
              </w:pBdr>
              <w:rPr>
                <w:color w:val="000000"/>
              </w:rPr>
            </w:pPr>
            <w:proofErr w:type="gramStart"/>
            <w:r>
              <w:rPr>
                <w:rFonts w:eastAsia="Calibri"/>
                <w:color w:val="000000"/>
              </w:rPr>
              <w:t>臺</w:t>
            </w:r>
            <w:proofErr w:type="gramEnd"/>
            <w:r>
              <w:rPr>
                <w:rFonts w:eastAsia="Calibri"/>
                <w:color w:val="000000"/>
              </w:rPr>
              <w:t>中榮民總醫院失智症中心</w:t>
            </w:r>
          </w:p>
          <w:p w:rsidR="00155EE1" w:rsidRDefault="00D47C9B">
            <w:pPr>
              <w:pBdr>
                <w:top w:val="nil"/>
                <w:left w:val="nil"/>
                <w:bottom w:val="nil"/>
                <w:right w:val="nil"/>
                <w:between w:val="nil"/>
              </w:pBdr>
              <w:rPr>
                <w:color w:val="000000"/>
              </w:rPr>
            </w:pPr>
            <w:r>
              <w:rPr>
                <w:rFonts w:eastAsia="Calibri"/>
                <w:color w:val="000000"/>
              </w:rPr>
              <w:t>臺北市立聯合醫院失智症中心</w:t>
            </w:r>
          </w:p>
          <w:p w:rsidR="00155EE1" w:rsidRDefault="00D47C9B">
            <w:pPr>
              <w:pBdr>
                <w:top w:val="nil"/>
                <w:left w:val="nil"/>
                <w:bottom w:val="nil"/>
                <w:right w:val="nil"/>
                <w:between w:val="nil"/>
              </w:pBdr>
              <w:rPr>
                <w:color w:val="000000"/>
              </w:rPr>
            </w:pPr>
            <w:proofErr w:type="gramStart"/>
            <w:r>
              <w:rPr>
                <w:rFonts w:eastAsia="Calibri"/>
                <w:color w:val="000000"/>
              </w:rPr>
              <w:t>臺</w:t>
            </w:r>
            <w:proofErr w:type="gramEnd"/>
            <w:r>
              <w:rPr>
                <w:rFonts w:eastAsia="Calibri"/>
                <w:color w:val="000000"/>
              </w:rPr>
              <w:t>北醫學大學醫學院</w:t>
            </w:r>
          </w:p>
        </w:tc>
      </w:tr>
      <w:tr w:rsidR="00155EE1">
        <w:tc>
          <w:tcPr>
            <w:tcW w:w="1413" w:type="dxa"/>
          </w:tcPr>
          <w:p w:rsidR="00155EE1" w:rsidRDefault="00D47C9B">
            <w:pPr>
              <w:pBdr>
                <w:top w:val="nil"/>
                <w:left w:val="nil"/>
                <w:bottom w:val="nil"/>
                <w:right w:val="nil"/>
                <w:between w:val="nil"/>
              </w:pBdr>
              <w:rPr>
                <w:color w:val="000000"/>
              </w:rPr>
            </w:pPr>
            <w:r>
              <w:rPr>
                <w:rFonts w:eastAsia="Calibri"/>
                <w:color w:val="000000"/>
              </w:rPr>
              <w:t>聯絡人</w:t>
            </w:r>
          </w:p>
        </w:tc>
        <w:tc>
          <w:tcPr>
            <w:tcW w:w="6883" w:type="dxa"/>
          </w:tcPr>
          <w:p w:rsidR="00155EE1" w:rsidRDefault="00D47C9B">
            <w:pPr>
              <w:pBdr>
                <w:top w:val="nil"/>
                <w:left w:val="nil"/>
                <w:bottom w:val="nil"/>
                <w:right w:val="nil"/>
                <w:between w:val="nil"/>
              </w:pBdr>
              <w:rPr>
                <w:color w:val="000000"/>
              </w:rPr>
            </w:pPr>
            <w:r>
              <w:rPr>
                <w:rFonts w:eastAsia="Calibri"/>
                <w:color w:val="000000"/>
              </w:rPr>
              <w:t>黃立楷</w:t>
            </w:r>
            <w:r>
              <w:rPr>
                <w:rFonts w:eastAsia="Calibri"/>
                <w:color w:val="000000"/>
              </w:rPr>
              <w:t xml:space="preserve"> (</w:t>
            </w:r>
            <w:r>
              <w:rPr>
                <w:rFonts w:eastAsia="Calibri"/>
                <w:color w:val="000000"/>
              </w:rPr>
              <w:t>雙和醫院</w:t>
            </w:r>
            <w:r>
              <w:rPr>
                <w:rFonts w:eastAsia="Calibri"/>
                <w:color w:val="000000"/>
              </w:rPr>
              <w:t xml:space="preserve"> </w:t>
            </w:r>
            <w:r>
              <w:rPr>
                <w:rFonts w:eastAsia="Calibri"/>
                <w:color w:val="000000"/>
              </w:rPr>
              <w:t>失智症中心</w:t>
            </w:r>
            <w:r>
              <w:rPr>
                <w:rFonts w:eastAsia="Calibri"/>
                <w:color w:val="000000"/>
              </w:rPr>
              <w:t>)</w:t>
            </w:r>
          </w:p>
        </w:tc>
      </w:tr>
      <w:tr w:rsidR="00155EE1">
        <w:trPr>
          <w:trHeight w:val="624"/>
        </w:trPr>
        <w:tc>
          <w:tcPr>
            <w:tcW w:w="1413" w:type="dxa"/>
          </w:tcPr>
          <w:p w:rsidR="00155EE1" w:rsidRDefault="00D47C9B">
            <w:pPr>
              <w:pBdr>
                <w:top w:val="nil"/>
                <w:left w:val="nil"/>
                <w:bottom w:val="nil"/>
                <w:right w:val="nil"/>
                <w:between w:val="nil"/>
              </w:pBdr>
              <w:rPr>
                <w:color w:val="000000"/>
                <w:sz w:val="22"/>
                <w:szCs w:val="22"/>
              </w:rPr>
            </w:pPr>
            <w:r>
              <w:rPr>
                <w:rFonts w:eastAsia="Calibri"/>
                <w:color w:val="000000"/>
                <w:sz w:val="22"/>
                <w:szCs w:val="22"/>
              </w:rPr>
              <w:t>聯絡方式</w:t>
            </w:r>
          </w:p>
        </w:tc>
        <w:tc>
          <w:tcPr>
            <w:tcW w:w="6883" w:type="dxa"/>
          </w:tcPr>
          <w:p w:rsidR="00155EE1" w:rsidRDefault="00D47C9B">
            <w:pPr>
              <w:pBdr>
                <w:top w:val="nil"/>
                <w:left w:val="nil"/>
                <w:bottom w:val="nil"/>
                <w:right w:val="nil"/>
                <w:between w:val="nil"/>
              </w:pBdr>
              <w:rPr>
                <w:rFonts w:ascii="Microsoft JhengHei" w:eastAsia="Microsoft JhengHei" w:hAnsi="Microsoft JhengHei" w:cs="Microsoft JhengHei"/>
                <w:color w:val="000000"/>
                <w:sz w:val="22"/>
                <w:szCs w:val="22"/>
              </w:rPr>
            </w:pPr>
            <w:r>
              <w:rPr>
                <w:rFonts w:ascii="Microsoft JhengHei" w:eastAsia="Microsoft JhengHei" w:hAnsi="Microsoft JhengHei" w:cs="Microsoft JhengHei"/>
                <w:color w:val="000000"/>
                <w:sz w:val="22"/>
                <w:szCs w:val="22"/>
              </w:rPr>
              <w:t>0970746913 greatoriole@gmail.com</w:t>
            </w:r>
          </w:p>
        </w:tc>
      </w:tr>
    </w:tbl>
    <w:p w:rsidR="00155EE1" w:rsidRDefault="00155EE1"/>
    <w:sectPr w:rsidR="00155EE1">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w:altName w:val="Times New Roman"/>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155EE1"/>
    <w:rsid w:val="00155EE1"/>
    <w:rsid w:val="00D47C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AB62FF"/>
    <w:pPr>
      <w:tabs>
        <w:tab w:val="center" w:pos="4153"/>
        <w:tab w:val="right" w:pos="8306"/>
      </w:tabs>
      <w:snapToGrid w:val="0"/>
    </w:pPr>
    <w:rPr>
      <w:sz w:val="20"/>
      <w:szCs w:val="20"/>
    </w:rPr>
  </w:style>
  <w:style w:type="character" w:customStyle="1" w:styleId="a5">
    <w:name w:val="頁首 字元"/>
    <w:basedOn w:val="a0"/>
    <w:link w:val="a4"/>
    <w:uiPriority w:val="99"/>
    <w:rsid w:val="00AB62FF"/>
    <w:rPr>
      <w:sz w:val="20"/>
      <w:szCs w:val="20"/>
    </w:rPr>
  </w:style>
  <w:style w:type="paragraph" w:styleId="a6">
    <w:name w:val="footer"/>
    <w:basedOn w:val="a"/>
    <w:link w:val="a7"/>
    <w:uiPriority w:val="99"/>
    <w:unhideWhenUsed/>
    <w:rsid w:val="00AB62FF"/>
    <w:pPr>
      <w:tabs>
        <w:tab w:val="center" w:pos="4153"/>
        <w:tab w:val="right" w:pos="8306"/>
      </w:tabs>
      <w:snapToGrid w:val="0"/>
    </w:pPr>
    <w:rPr>
      <w:sz w:val="20"/>
      <w:szCs w:val="20"/>
    </w:rPr>
  </w:style>
  <w:style w:type="character" w:customStyle="1" w:styleId="a7">
    <w:name w:val="頁尾 字元"/>
    <w:basedOn w:val="a0"/>
    <w:link w:val="a6"/>
    <w:uiPriority w:val="99"/>
    <w:rsid w:val="00AB62FF"/>
    <w:rPr>
      <w:sz w:val="20"/>
      <w:szCs w:val="20"/>
    </w:rPr>
  </w:style>
  <w:style w:type="table" w:styleId="a8">
    <w:name w:val="Table Grid"/>
    <w:basedOn w:val="a1"/>
    <w:uiPriority w:val="39"/>
    <w:rsid w:val="00A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ion-enable-hover">
    <w:name w:val="notion-enable-hover"/>
    <w:basedOn w:val="a0"/>
    <w:rsid w:val="00AB62FF"/>
  </w:style>
  <w:style w:type="character" w:customStyle="1" w:styleId="link-annotation-unknown-block-id-1941035117">
    <w:name w:val="link-annotation-unknown-block-id-1941035117"/>
    <w:basedOn w:val="a0"/>
    <w:rsid w:val="00AB62FF"/>
  </w:style>
  <w:style w:type="paragraph" w:styleId="a9">
    <w:name w:val="No Spacing"/>
    <w:uiPriority w:val="1"/>
    <w:qFormat/>
    <w:rsid w:val="000E5CAA"/>
  </w:style>
  <w:style w:type="character" w:customStyle="1" w:styleId="symbol">
    <w:name w:val="symbol"/>
    <w:basedOn w:val="a0"/>
    <w:rsid w:val="00A07207"/>
  </w:style>
  <w:style w:type="character" w:styleId="aa">
    <w:name w:val="Emphasis"/>
    <w:basedOn w:val="a0"/>
    <w:uiPriority w:val="20"/>
    <w:qFormat/>
    <w:rsid w:val="00A07207"/>
    <w:rPr>
      <w:i/>
      <w:iCs/>
    </w:rPr>
  </w:style>
  <w:style w:type="character" w:styleId="ab">
    <w:name w:val="Hyperlink"/>
    <w:basedOn w:val="a0"/>
    <w:uiPriority w:val="99"/>
    <w:unhideWhenUsed/>
    <w:rsid w:val="00764E1F"/>
    <w:rPr>
      <w:color w:val="0563C1" w:themeColor="hyperlink"/>
      <w:u w:val="single"/>
    </w:rPr>
  </w:style>
  <w:style w:type="paragraph" w:customStyle="1" w:styleId="04xlpa">
    <w:name w:val="_04xlpa"/>
    <w:basedOn w:val="a"/>
    <w:rsid w:val="00DA7FD9"/>
    <w:pPr>
      <w:widowControl/>
      <w:spacing w:before="100" w:beforeAutospacing="1" w:after="100" w:afterAutospacing="1"/>
    </w:pPr>
    <w:rPr>
      <w:rFonts w:ascii="新細明體" w:eastAsia="新細明體" w:hAnsi="新細明體" w:cs="新細明體"/>
    </w:rPr>
  </w:style>
  <w:style w:type="character" w:customStyle="1" w:styleId="jsgrdq">
    <w:name w:val="jsgrdq"/>
    <w:basedOn w:val="a0"/>
    <w:rsid w:val="00DA7FD9"/>
  </w:style>
  <w:style w:type="character" w:customStyle="1" w:styleId="10">
    <w:name w:val="未解析的提及1"/>
    <w:basedOn w:val="a0"/>
    <w:uiPriority w:val="99"/>
    <w:semiHidden/>
    <w:unhideWhenUsed/>
    <w:rsid w:val="00DA7FD9"/>
    <w:rPr>
      <w:color w:val="605E5C"/>
      <w:shd w:val="clear" w:color="auto" w:fill="E1DFDD"/>
    </w:rPr>
  </w:style>
  <w:style w:type="paragraph" w:styleId="ac">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AB62FF"/>
    <w:pPr>
      <w:tabs>
        <w:tab w:val="center" w:pos="4153"/>
        <w:tab w:val="right" w:pos="8306"/>
      </w:tabs>
      <w:snapToGrid w:val="0"/>
    </w:pPr>
    <w:rPr>
      <w:sz w:val="20"/>
      <w:szCs w:val="20"/>
    </w:rPr>
  </w:style>
  <w:style w:type="character" w:customStyle="1" w:styleId="a5">
    <w:name w:val="頁首 字元"/>
    <w:basedOn w:val="a0"/>
    <w:link w:val="a4"/>
    <w:uiPriority w:val="99"/>
    <w:rsid w:val="00AB62FF"/>
    <w:rPr>
      <w:sz w:val="20"/>
      <w:szCs w:val="20"/>
    </w:rPr>
  </w:style>
  <w:style w:type="paragraph" w:styleId="a6">
    <w:name w:val="footer"/>
    <w:basedOn w:val="a"/>
    <w:link w:val="a7"/>
    <w:uiPriority w:val="99"/>
    <w:unhideWhenUsed/>
    <w:rsid w:val="00AB62FF"/>
    <w:pPr>
      <w:tabs>
        <w:tab w:val="center" w:pos="4153"/>
        <w:tab w:val="right" w:pos="8306"/>
      </w:tabs>
      <w:snapToGrid w:val="0"/>
    </w:pPr>
    <w:rPr>
      <w:sz w:val="20"/>
      <w:szCs w:val="20"/>
    </w:rPr>
  </w:style>
  <w:style w:type="character" w:customStyle="1" w:styleId="a7">
    <w:name w:val="頁尾 字元"/>
    <w:basedOn w:val="a0"/>
    <w:link w:val="a6"/>
    <w:uiPriority w:val="99"/>
    <w:rsid w:val="00AB62FF"/>
    <w:rPr>
      <w:sz w:val="20"/>
      <w:szCs w:val="20"/>
    </w:rPr>
  </w:style>
  <w:style w:type="table" w:styleId="a8">
    <w:name w:val="Table Grid"/>
    <w:basedOn w:val="a1"/>
    <w:uiPriority w:val="39"/>
    <w:rsid w:val="00A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ion-enable-hover">
    <w:name w:val="notion-enable-hover"/>
    <w:basedOn w:val="a0"/>
    <w:rsid w:val="00AB62FF"/>
  </w:style>
  <w:style w:type="character" w:customStyle="1" w:styleId="link-annotation-unknown-block-id-1941035117">
    <w:name w:val="link-annotation-unknown-block-id-1941035117"/>
    <w:basedOn w:val="a0"/>
    <w:rsid w:val="00AB62FF"/>
  </w:style>
  <w:style w:type="paragraph" w:styleId="a9">
    <w:name w:val="No Spacing"/>
    <w:uiPriority w:val="1"/>
    <w:qFormat/>
    <w:rsid w:val="000E5CAA"/>
  </w:style>
  <w:style w:type="character" w:customStyle="1" w:styleId="symbol">
    <w:name w:val="symbol"/>
    <w:basedOn w:val="a0"/>
    <w:rsid w:val="00A07207"/>
  </w:style>
  <w:style w:type="character" w:styleId="aa">
    <w:name w:val="Emphasis"/>
    <w:basedOn w:val="a0"/>
    <w:uiPriority w:val="20"/>
    <w:qFormat/>
    <w:rsid w:val="00A07207"/>
    <w:rPr>
      <w:i/>
      <w:iCs/>
    </w:rPr>
  </w:style>
  <w:style w:type="character" w:styleId="ab">
    <w:name w:val="Hyperlink"/>
    <w:basedOn w:val="a0"/>
    <w:uiPriority w:val="99"/>
    <w:unhideWhenUsed/>
    <w:rsid w:val="00764E1F"/>
    <w:rPr>
      <w:color w:val="0563C1" w:themeColor="hyperlink"/>
      <w:u w:val="single"/>
    </w:rPr>
  </w:style>
  <w:style w:type="paragraph" w:customStyle="1" w:styleId="04xlpa">
    <w:name w:val="_04xlpa"/>
    <w:basedOn w:val="a"/>
    <w:rsid w:val="00DA7FD9"/>
    <w:pPr>
      <w:widowControl/>
      <w:spacing w:before="100" w:beforeAutospacing="1" w:after="100" w:afterAutospacing="1"/>
    </w:pPr>
    <w:rPr>
      <w:rFonts w:ascii="新細明體" w:eastAsia="新細明體" w:hAnsi="新細明體" w:cs="新細明體"/>
    </w:rPr>
  </w:style>
  <w:style w:type="character" w:customStyle="1" w:styleId="jsgrdq">
    <w:name w:val="jsgrdq"/>
    <w:basedOn w:val="a0"/>
    <w:rsid w:val="00DA7FD9"/>
  </w:style>
  <w:style w:type="character" w:customStyle="1" w:styleId="10">
    <w:name w:val="未解析的提及1"/>
    <w:basedOn w:val="a0"/>
    <w:uiPriority w:val="99"/>
    <w:semiHidden/>
    <w:unhideWhenUsed/>
    <w:rsid w:val="00DA7FD9"/>
    <w:rPr>
      <w:color w:val="605E5C"/>
      <w:shd w:val="clear" w:color="auto" w:fill="E1DFDD"/>
    </w:rPr>
  </w:style>
  <w:style w:type="paragraph" w:styleId="ac">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817">
      <w:bodyDiv w:val="1"/>
      <w:marLeft w:val="0"/>
      <w:marRight w:val="0"/>
      <w:marTop w:val="0"/>
      <w:marBottom w:val="0"/>
      <w:divBdr>
        <w:top w:val="none" w:sz="0" w:space="0" w:color="auto"/>
        <w:left w:val="none" w:sz="0" w:space="0" w:color="auto"/>
        <w:bottom w:val="none" w:sz="0" w:space="0" w:color="auto"/>
        <w:right w:val="none" w:sz="0" w:space="0" w:color="auto"/>
      </w:divBdr>
      <w:divsChild>
        <w:div w:id="589432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DH5l9BAIJz3DpWAib4b+C9v5A==">CgMxLjA4AHIhMS1aak1IWUI0MmgzVUNkblRBcEFENk5TYVRiY3JlalRn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Liu</dc:creator>
  <cp:lastModifiedBy>USER</cp:lastModifiedBy>
  <cp:revision>2</cp:revision>
  <dcterms:created xsi:type="dcterms:W3CDTF">2023-04-06T16:28:00Z</dcterms:created>
  <dcterms:modified xsi:type="dcterms:W3CDTF">2023-09-13T07:16:00Z</dcterms:modified>
</cp:coreProperties>
</file>