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大師講堂-失智症研究前沿系列講座 課程表</w:t>
      </w:r>
    </w:p>
    <w:p w:rsidR="00000000" w:rsidDel="00000000" w:rsidP="00000000" w:rsidRDefault="00000000" w:rsidRPr="00000000" w14:paraId="00000002">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Frontiers in Dementia Research—Master Lectures</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883"/>
        <w:tblGridChange w:id="0">
          <w:tblGrid>
            <w:gridCol w:w="1413"/>
            <w:gridCol w:w="6883"/>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課程時間</w:t>
            </w:r>
          </w:p>
        </w:tc>
        <w:tc>
          <w:tcPr>
            <w:tcBorders>
              <w:bottom w:color="000000" w:space="0" w:sz="7"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112年</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月</w:t>
            </w:r>
            <w:r w:rsidDel="00000000" w:rsidR="00000000" w:rsidRPr="00000000">
              <w:rPr>
                <w:rtl w:val="0"/>
              </w:rPr>
              <w:t xml:space="preserve">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日 12：30~13：30</w:t>
            </w:r>
          </w:p>
        </w:tc>
      </w:tr>
      <w:tr>
        <w:trPr>
          <w:cantSplit w:val="0"/>
          <w:tblHeader w:val="0"/>
        </w:trPr>
        <w:tc>
          <w:tcPr>
            <w:tcBorders>
              <w:right w:color="000000" w:space="0" w:sz="7" w:val="single"/>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課程地點</w:t>
            </w:r>
          </w:p>
        </w:tc>
        <w:tc>
          <w:tcPr>
            <w:tcBorders>
              <w:top w:color="000000" w:space="0" w:sz="7" w:val="single"/>
              <w:left w:color="000000" w:space="0" w:sz="7" w:val="single"/>
              <w:bottom w:color="000000" w:space="0" w:sz="7" w:val="single"/>
              <w:right w:color="000000" w:space="0" w:sz="7" w:val="single"/>
            </w:tcBorders>
            <w:tcMar>
              <w:top w:w="160.0" w:type="dxa"/>
              <w:left w:w="160.0" w:type="dxa"/>
              <w:bottom w:w="160.0" w:type="dxa"/>
              <w:right w:w="160.0" w:type="dxa"/>
            </w:tcMar>
            <w:vAlign w:val="top"/>
          </w:tcPr>
          <w:p w:rsidR="00000000" w:rsidDel="00000000" w:rsidP="00000000" w:rsidRDefault="00000000" w:rsidRPr="00000000" w14:paraId="00000006">
            <w:pPr>
              <w:rPr>
                <w:color w:val="0563c1"/>
                <w:u w:val="single"/>
              </w:rPr>
            </w:pPr>
            <w:r w:rsidDel="00000000" w:rsidR="00000000" w:rsidRPr="00000000">
              <w:rPr>
                <w:b w:val="1"/>
                <w:color w:val="222222"/>
                <w:rtl w:val="0"/>
              </w:rPr>
              <w:t xml:space="preserve">Webex meeting room</w:t>
            </w:r>
            <w:r w:rsidDel="00000000" w:rsidR="00000000" w:rsidRPr="00000000">
              <w:rPr>
                <w:color w:val="222222"/>
                <w:rtl w:val="0"/>
              </w:rPr>
              <w:t xml:space="preserve">：</w:t>
            </w:r>
            <w:hyperlink r:id="rId7">
              <w:r w:rsidDel="00000000" w:rsidR="00000000" w:rsidRPr="00000000">
                <w:rPr>
                  <w:color w:val="0563c1"/>
                  <w:u w:val="single"/>
                  <w:rtl w:val="0"/>
                </w:rPr>
                <w:t xml:space="preserve">https://taipeimedicaluniversityshuanghohospitalministryofhealth.my.webex.com/meet/pr1585279471</w:t>
              </w:r>
            </w:hyperlink>
            <w:r w:rsidDel="00000000" w:rsidR="00000000" w:rsidRPr="00000000">
              <w:rPr>
                <w:rtl w:val="0"/>
              </w:rPr>
            </w:r>
          </w:p>
          <w:p w:rsidR="00000000" w:rsidDel="00000000" w:rsidP="00000000" w:rsidRDefault="00000000" w:rsidRPr="00000000" w14:paraId="00000007">
            <w:pPr>
              <w:rPr>
                <w:color w:val="222222"/>
              </w:rPr>
            </w:pPr>
            <w:r w:rsidDel="00000000" w:rsidR="00000000" w:rsidRPr="00000000">
              <w:rPr>
                <w:b w:val="1"/>
                <w:color w:val="222222"/>
                <w:rtl w:val="0"/>
              </w:rPr>
              <w:t xml:space="preserve">meeting room number</w:t>
            </w:r>
            <w:r w:rsidDel="00000000" w:rsidR="00000000" w:rsidRPr="00000000">
              <w:rPr>
                <w:color w:val="222222"/>
                <w:rtl w:val="0"/>
              </w:rPr>
              <w:t xml:space="preserve">：1585 27 9471</w:t>
            </w:r>
          </w:p>
        </w:tc>
      </w:tr>
      <w:tr>
        <w:trPr>
          <w:cantSplit w:val="0"/>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主題</w:t>
            </w:r>
          </w:p>
        </w:tc>
        <w:tc>
          <w:tcPr>
            <w:tcBorders>
              <w:top w:color="000000" w:space="0" w:sz="7" w:val="single"/>
            </w:tcBorders>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Frontiers in Dementia Research—Master Lectures</w:t>
            </w:r>
          </w:p>
        </w:tc>
      </w:tr>
      <w:tr>
        <w:trPr>
          <w:cantSplit w:val="0"/>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講師</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Prof. Kaj Blennow</w:t>
            </w:r>
            <w:r w:rsidDel="00000000" w:rsidR="00000000" w:rsidRPr="00000000">
              <w:rPr>
                <w:rtl w:val="0"/>
              </w:rPr>
            </w:r>
          </w:p>
        </w:tc>
      </w:tr>
      <w:tr>
        <w:trPr>
          <w:cantSplit w:val="0"/>
          <w:trHeight w:val="652"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講師簡歷</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Affiliation(s):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Clinical Neurochemistry Lab; Dept. of Neuroscience and Physiology; University of Gothenburg; Mölndal Hospital Sahlgrenska University Hospital; SE-43180 Mölndal; Sweden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Areas of Interest: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Alzheimer's disease, traumatic brain injury, biomarkers, pathophysiology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Biography &amp; Research: </w:t>
            </w:r>
            <w:r w:rsidDel="00000000" w:rsidR="00000000" w:rsidRPr="00000000">
              <w:rPr>
                <w:rtl w:val="0"/>
              </w:rPr>
              <w:t xml:space="preserve">* Studies on cerebrospinal fluid biochemical markers for clinical diagnosis of AD and therapy monitoring in AD and other brain disorders, including methodological aspects of cerebrospinal fluid analyses and assay development. * The neurochemical pathogenesis of AD, with focus on APP/Aβ metabolism and aggregation, neuronal and synaptic degeneration, and mechanisms for the APOE ε4 allele. * Pathogenesis of and diagnostic markers for traumatic brain injury (TBI)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課程摘要</w:t>
            </w:r>
          </w:p>
        </w:tc>
        <w:tc>
          <w:tcPr/>
          <w:p w:rsidR="00000000" w:rsidDel="00000000" w:rsidP="00000000" w:rsidRDefault="00000000" w:rsidRPr="00000000" w14:paraId="00000014">
            <w:pPr>
              <w:rPr/>
            </w:pPr>
            <w:r w:rsidDel="00000000" w:rsidR="00000000" w:rsidRPr="00000000">
              <w:rPr>
                <w:rtl w:val="0"/>
              </w:rPr>
              <w:t xml:space="preserve">Blood biomarkers have shown promise in early diagnosis and monitoring of Alzheimer's disease (AD). Amyloid-beta, tau protein, neurofilament light chain, and inflammatory markers have been identified as potential biomarkers for AD. Ultrasensitive detection methods such as single-molecule array and digital ELISA have improved the sensitivity and specificity of blood biomarkers. Combining multiple biomarkers into a panel has shown high accuracy in differentiating AD from other forms of dementia and healthy controls. However, further validation studies and standardization of detection methods are needed before blood biomarkers can be widely used in clinical practice. Despite these challenges, blood biomarkers hold great promise for improving patient outcomes in AD.</w:t>
            </w:r>
            <w:r w:rsidDel="00000000" w:rsidR="00000000" w:rsidRPr="00000000">
              <w:rPr>
                <w:rtl w:val="0"/>
              </w:rPr>
            </w:r>
          </w:p>
        </w:tc>
      </w:tr>
      <w:tr>
        <w:trPr>
          <w:cantSplit w:val="0"/>
          <w:trHeight w:val="1467"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課程形式</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課程時長1小時 (12:30~13:30)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May 19th, 2023</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Agenda: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12:30-12:35: Opening (online meeting room opens at 12:20 p.m.)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12:35-13:15: Update and recent advances on blood biomarkers for Alzheimer's disease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13:15-13:30: Q&amp;A session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24"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主辦單位</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衛生福利部雙和醫院(臺北醫學大學興建經營) 失智症中心</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協辦單位</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衛采製藥股份有限公司</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臺灣神經學學會</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臺北榮民總醫院神經內科</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臺中榮民總醫院失智症中心</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臺北市立聯合醫院失智症中心</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臺北醫學大學醫學院</w:t>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聯絡人</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黃立楷 (雙和醫院 失智症中心)</w:t>
            </w:r>
          </w:p>
        </w:tc>
      </w:tr>
      <w:tr>
        <w:trPr>
          <w:cantSplit w:val="0"/>
          <w:trHeight w:val="624"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聯絡方式</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0970746913 greatoriole@gmail.com</w:t>
            </w:r>
          </w:p>
        </w:tc>
      </w:tr>
    </w:tbl>
    <w:p w:rsidR="00000000" w:rsidDel="00000000" w:rsidP="00000000" w:rsidRDefault="00000000" w:rsidRPr="00000000" w14:paraId="0000002A">
      <w:pPr>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crosoft Jheng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B62FF"/>
    <w:pPr>
      <w:tabs>
        <w:tab w:val="center" w:pos="4153"/>
        <w:tab w:val="right" w:pos="8306"/>
      </w:tabs>
      <w:snapToGrid w:val="0"/>
    </w:pPr>
    <w:rPr>
      <w:sz w:val="20"/>
      <w:szCs w:val="20"/>
    </w:rPr>
  </w:style>
  <w:style w:type="character" w:styleId="a4" w:customStyle="1">
    <w:name w:val="頁首 字元"/>
    <w:basedOn w:val="a0"/>
    <w:link w:val="a3"/>
    <w:uiPriority w:val="99"/>
    <w:rsid w:val="00AB62FF"/>
    <w:rPr>
      <w:sz w:val="20"/>
      <w:szCs w:val="20"/>
    </w:rPr>
  </w:style>
  <w:style w:type="paragraph" w:styleId="a5">
    <w:name w:val="footer"/>
    <w:basedOn w:val="a"/>
    <w:link w:val="a6"/>
    <w:uiPriority w:val="99"/>
    <w:unhideWhenUsed w:val="1"/>
    <w:rsid w:val="00AB62FF"/>
    <w:pPr>
      <w:tabs>
        <w:tab w:val="center" w:pos="4153"/>
        <w:tab w:val="right" w:pos="8306"/>
      </w:tabs>
      <w:snapToGrid w:val="0"/>
    </w:pPr>
    <w:rPr>
      <w:sz w:val="20"/>
      <w:szCs w:val="20"/>
    </w:rPr>
  </w:style>
  <w:style w:type="character" w:styleId="a6" w:customStyle="1">
    <w:name w:val="頁尾 字元"/>
    <w:basedOn w:val="a0"/>
    <w:link w:val="a5"/>
    <w:uiPriority w:val="99"/>
    <w:rsid w:val="00AB62FF"/>
    <w:rPr>
      <w:sz w:val="20"/>
      <w:szCs w:val="20"/>
    </w:rPr>
  </w:style>
  <w:style w:type="table" w:styleId="a7">
    <w:name w:val="Table Grid"/>
    <w:basedOn w:val="a1"/>
    <w:uiPriority w:val="39"/>
    <w:rsid w:val="00AB62F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tion-enable-hover" w:customStyle="1">
    <w:name w:val="notion-enable-hover"/>
    <w:basedOn w:val="a0"/>
    <w:rsid w:val="00AB62FF"/>
  </w:style>
  <w:style w:type="character" w:styleId="link-annotation-unknown-block-id-1941035117" w:customStyle="1">
    <w:name w:val="link-annotation-unknown-block-id-1941035117"/>
    <w:basedOn w:val="a0"/>
    <w:rsid w:val="00AB62FF"/>
  </w:style>
  <w:style w:type="paragraph" w:styleId="a8">
    <w:name w:val="No Spacing"/>
    <w:uiPriority w:val="1"/>
    <w:qFormat w:val="1"/>
    <w:rsid w:val="000E5CAA"/>
    <w:pPr>
      <w:widowControl w:val="0"/>
    </w:pPr>
  </w:style>
  <w:style w:type="character" w:styleId="symbol" w:customStyle="1">
    <w:name w:val="symbol"/>
    <w:basedOn w:val="a0"/>
    <w:rsid w:val="00A07207"/>
  </w:style>
  <w:style w:type="character" w:styleId="a9">
    <w:name w:val="Emphasis"/>
    <w:basedOn w:val="a0"/>
    <w:uiPriority w:val="20"/>
    <w:qFormat w:val="1"/>
    <w:rsid w:val="00A07207"/>
    <w:rPr>
      <w:i w:val="1"/>
      <w:iCs w:val="1"/>
    </w:rPr>
  </w:style>
  <w:style w:type="character" w:styleId="aa">
    <w:name w:val="Hyperlink"/>
    <w:basedOn w:val="a0"/>
    <w:uiPriority w:val="99"/>
    <w:unhideWhenUsed w:val="1"/>
    <w:rsid w:val="00764E1F"/>
    <w:rPr>
      <w:color w:val="0563c1" w:themeColor="hyperlink"/>
      <w:u w:val="single"/>
    </w:rPr>
  </w:style>
  <w:style w:type="paragraph" w:styleId="04xlpa" w:customStyle="1">
    <w:name w:val="_04xlpa"/>
    <w:basedOn w:val="a"/>
    <w:rsid w:val="00DA7FD9"/>
    <w:pPr>
      <w:widowControl w:val="1"/>
      <w:spacing w:after="100" w:afterAutospacing="1" w:before="100" w:beforeAutospacing="1"/>
    </w:pPr>
    <w:rPr>
      <w:rFonts w:ascii="新細明體" w:cs="新細明體" w:eastAsia="新細明體" w:hAnsi="新細明體"/>
      <w:kern w:val="0"/>
      <w:szCs w:val="24"/>
    </w:rPr>
  </w:style>
  <w:style w:type="character" w:styleId="jsgrdq" w:customStyle="1">
    <w:name w:val="jsgrdq"/>
    <w:basedOn w:val="a0"/>
    <w:rsid w:val="00DA7FD9"/>
  </w:style>
  <w:style w:type="character" w:styleId="1" w:customStyle="1">
    <w:name w:val="未解析的提及1"/>
    <w:basedOn w:val="a0"/>
    <w:uiPriority w:val="99"/>
    <w:semiHidden w:val="1"/>
    <w:unhideWhenUsed w:val="1"/>
    <w:rsid w:val="00DA7FD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ipeimedicaluniversityshuanghohospitalministryofhealth.my.webex.com/meet/pr158527947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UkgPqn72PTB157Eb8+uP7If84w==">AMUW2mVInGuHTlLoepiWvgFClzBL+8y7mXo3iNwS/rFw9Z3ccp4zEE+mvM4sPIUHRea6Yj8QiShEKvYTXB3LNsTfxNt20o3a/ztlp/fdFeEs2NBRpEs7Yg4=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2023-04-06T16:28:00Z</dcterms:created>
  <dc:creator>Stella Liu</dc:creator>
</cp:coreProperties>
</file>