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932EA1" w14:textId="473A06CC" w:rsidR="00C868DD" w:rsidRPr="00C868DD" w:rsidRDefault="00C868DD" w:rsidP="00C868DD">
      <w:pPr>
        <w:rPr>
          <w:rFonts w:ascii="標楷體" w:eastAsia="標楷體" w:hAnsi="標楷體"/>
          <w:color w:val="222222"/>
        </w:rPr>
      </w:pPr>
      <w:r w:rsidRPr="00C868DD">
        <w:rPr>
          <w:rFonts w:ascii="標楷體" w:eastAsia="標楷體" w:hAnsi="標楷體"/>
        </w:rPr>
        <w:t>您好：</w:t>
      </w:r>
    </w:p>
    <w:p w14:paraId="7049D051" w14:textId="76EA8E5D" w:rsidR="00C868DD" w:rsidRPr="00C868DD" w:rsidRDefault="00C868DD" w:rsidP="00C868DD">
      <w:pPr>
        <w:rPr>
          <w:rFonts w:ascii="標楷體" w:eastAsia="標楷體" w:hAnsi="標楷體"/>
          <w:color w:val="222222"/>
        </w:rPr>
      </w:pPr>
      <w:r w:rsidRPr="00C868DD">
        <w:rPr>
          <w:rFonts w:ascii="標楷體" w:eastAsia="標楷體" w:hAnsi="標楷體"/>
        </w:rPr>
        <w:t>今年度</w:t>
      </w:r>
      <w:r w:rsidRPr="00C868DD">
        <w:rPr>
          <w:rFonts w:ascii="標楷體" w:eastAsia="標楷體" w:hAnsi="標楷體" w:hint="eastAsia"/>
        </w:rPr>
        <w:t>台灣臨床失智症</w:t>
      </w:r>
      <w:r w:rsidRPr="00C868DD">
        <w:rPr>
          <w:rFonts w:ascii="標楷體" w:eastAsia="標楷體" w:hAnsi="標楷體"/>
        </w:rPr>
        <w:t>學會將</w:t>
      </w:r>
      <w:r w:rsidRPr="00C868DD">
        <w:rPr>
          <w:rFonts w:ascii="標楷體" w:eastAsia="標楷體" w:hAnsi="標楷體" w:hint="eastAsia"/>
        </w:rPr>
        <w:t>持續</w:t>
      </w:r>
      <w:r w:rsidRPr="00C868DD">
        <w:rPr>
          <w:rFonts w:ascii="標楷體" w:eastAsia="標楷體" w:hAnsi="標楷體"/>
        </w:rPr>
        <w:t>協助國衛院執行衛福部委託的全國社區失智症與失能流行病學調查計劃，執行計畫</w:t>
      </w:r>
      <w:r w:rsidRPr="00C868DD">
        <w:rPr>
          <w:rFonts w:ascii="標楷體" w:eastAsia="標楷體" w:hAnsi="標楷體" w:hint="eastAsia"/>
        </w:rPr>
        <w:t>會</w:t>
      </w:r>
      <w:r w:rsidRPr="00C868DD">
        <w:rPr>
          <w:rFonts w:ascii="標楷體" w:eastAsia="標楷體" w:hAnsi="標楷體"/>
        </w:rPr>
        <w:t>請醫師進行CDR診斷，邀請</w:t>
      </w:r>
      <w:r w:rsidRPr="00C868DD">
        <w:rPr>
          <w:rFonts w:ascii="標楷體" w:eastAsia="標楷體" w:hAnsi="標楷體" w:hint="eastAsia"/>
        </w:rPr>
        <w:t>台灣神經學會、台灣老年精神醫學會的醫師們</w:t>
      </w:r>
      <w:r w:rsidRPr="00C868DD">
        <w:rPr>
          <w:rFonts w:ascii="標楷體" w:eastAsia="標楷體" w:hAnsi="標楷體"/>
        </w:rPr>
        <w:t>共同</w:t>
      </w:r>
      <w:r w:rsidRPr="00C868DD">
        <w:rPr>
          <w:rFonts w:ascii="標楷體" w:eastAsia="標楷體" w:hAnsi="標楷體" w:hint="eastAsia"/>
        </w:rPr>
        <w:t>協助</w:t>
      </w:r>
      <w:r w:rsidRPr="00C868DD">
        <w:rPr>
          <w:rFonts w:ascii="標楷體" w:eastAsia="標楷體" w:hAnsi="標楷體"/>
        </w:rPr>
        <w:t>執行計畫。</w:t>
      </w:r>
    </w:p>
    <w:p w14:paraId="0270CDB1" w14:textId="0C2FB7E2" w:rsidR="00C868DD" w:rsidRPr="00C868DD" w:rsidRDefault="00C868DD" w:rsidP="00C868DD">
      <w:pPr>
        <w:rPr>
          <w:rFonts w:ascii="標楷體" w:eastAsia="標楷體" w:hAnsi="標楷體"/>
          <w:color w:val="222222"/>
        </w:rPr>
      </w:pPr>
      <w:r w:rsidRPr="00C868DD">
        <w:rPr>
          <w:rFonts w:ascii="標楷體" w:eastAsia="標楷體" w:hAnsi="標楷體"/>
        </w:rPr>
        <w:t>以下提供相關計畫報名資訊 與計畫簡介，請參閱，謝謝。</w:t>
      </w:r>
    </w:p>
    <w:p w14:paraId="6EF87768" w14:textId="6A614ACB" w:rsidR="00C868DD" w:rsidRPr="00C868DD" w:rsidRDefault="00C868DD" w:rsidP="00C868DD">
      <w:pPr>
        <w:rPr>
          <w:rFonts w:ascii="標楷體" w:eastAsia="標楷體" w:hAnsi="標楷體"/>
          <w:color w:val="222222"/>
          <w:spacing w:val="2"/>
        </w:rPr>
      </w:pPr>
      <w:r w:rsidRPr="00C868DD">
        <w:rPr>
          <w:rFonts w:ascii="標楷體" w:eastAsia="標楷體" w:hAnsi="標楷體"/>
          <w:spacing w:val="2"/>
        </w:rPr>
        <w:t>--------------------------------------------------------------------</w:t>
      </w:r>
    </w:p>
    <w:p w14:paraId="095BCB0F" w14:textId="73BE6FF8" w:rsidR="00C868DD" w:rsidRPr="00C868DD" w:rsidRDefault="00C868DD" w:rsidP="00C868DD">
      <w:pPr>
        <w:rPr>
          <w:rFonts w:ascii="標楷體" w:eastAsia="標楷體" w:hAnsi="標楷體"/>
          <w:color w:val="222222"/>
          <w:spacing w:val="2"/>
        </w:rPr>
      </w:pPr>
      <w:r w:rsidRPr="00C868DD">
        <w:rPr>
          <w:rFonts w:ascii="標楷體" w:eastAsia="標楷體" w:hAnsi="標楷體"/>
          <w:spacing w:val="2"/>
        </w:rPr>
        <w:t>「國衛院全國社區失智症與失能流行病學調查的第二階段家訪」</w:t>
      </w:r>
      <w:r w:rsidRPr="00C868DD">
        <w:rPr>
          <w:rFonts w:ascii="標楷體" w:eastAsia="標楷體" w:hAnsi="標楷體" w:hint="eastAsia"/>
          <w:spacing w:val="2"/>
        </w:rPr>
        <w:t>擴大徵求</w:t>
      </w:r>
      <w:r w:rsidRPr="00C868DD">
        <w:rPr>
          <w:rFonts w:ascii="標楷體" w:eastAsia="標楷體" w:hAnsi="標楷體"/>
          <w:spacing w:val="2"/>
        </w:rPr>
        <w:t>及認領規範</w:t>
      </w:r>
    </w:p>
    <w:p w14:paraId="278F13E8" w14:textId="77777777" w:rsidR="00140258" w:rsidRDefault="00C868DD" w:rsidP="00C868DD">
      <w:pPr>
        <w:rPr>
          <w:rFonts w:ascii="標楷體" w:eastAsia="標楷體" w:hAnsi="標楷體"/>
          <w:spacing w:val="5"/>
        </w:rPr>
      </w:pPr>
      <w:r w:rsidRPr="00C868DD">
        <w:rPr>
          <w:rFonts w:ascii="標楷體" w:eastAsia="標楷體" w:hAnsi="標楷體" w:cs="新細明體" w:hint="eastAsia"/>
          <w:spacing w:val="5"/>
        </w:rPr>
        <w:t>■</w:t>
      </w:r>
      <w:r w:rsidRPr="00C868DD">
        <w:rPr>
          <w:rFonts w:ascii="標楷體" w:eastAsia="標楷體" w:hAnsi="標楷體"/>
          <w:spacing w:val="5"/>
        </w:rPr>
        <w:t>參加條件：</w:t>
      </w:r>
    </w:p>
    <w:p w14:paraId="3F04514D" w14:textId="23AFBA69" w:rsidR="00140258" w:rsidRDefault="00140258" w:rsidP="00C868DD">
      <w:pPr>
        <w:rPr>
          <w:rFonts w:ascii="標楷體" w:eastAsia="標楷體" w:hAnsi="標楷體"/>
          <w:spacing w:val="5"/>
        </w:rPr>
      </w:pPr>
      <w:r>
        <w:rPr>
          <w:rFonts w:ascii="標楷體" w:eastAsia="標楷體" w:hAnsi="標楷體" w:hint="eastAsia"/>
          <w:spacing w:val="5"/>
        </w:rPr>
        <w:t>(</w:t>
      </w:r>
      <w:r>
        <w:rPr>
          <w:rFonts w:ascii="標楷體" w:eastAsia="標楷體" w:hAnsi="標楷體"/>
          <w:spacing w:val="5"/>
        </w:rPr>
        <w:t>1)</w:t>
      </w:r>
      <w:r w:rsidR="00C868DD" w:rsidRPr="00C868DD">
        <w:rPr>
          <w:rFonts w:ascii="標楷體" w:eastAsia="標楷體" w:hAnsi="標楷體"/>
          <w:spacing w:val="5"/>
        </w:rPr>
        <w:t>具CDR評量經驗之神經科或精神科醫師，以醫院為單位進行報名。</w:t>
      </w:r>
    </w:p>
    <w:p w14:paraId="3D921F35" w14:textId="689702A1" w:rsidR="00C868DD" w:rsidRPr="00140258" w:rsidRDefault="00140258" w:rsidP="00C868DD">
      <w:pPr>
        <w:rPr>
          <w:rFonts w:ascii="標楷體" w:eastAsia="標楷體" w:hAnsi="標楷體"/>
          <w:color w:val="222222"/>
          <w:sz w:val="27"/>
          <w:szCs w:val="27"/>
          <w:shd w:val="clear" w:color="auto" w:fill="FFFFFF"/>
        </w:rPr>
      </w:pPr>
      <w:r w:rsidRPr="00140258">
        <w:rPr>
          <w:rFonts w:ascii="標楷體" w:eastAsia="標楷體" w:hAnsi="標楷體" w:hint="eastAsia"/>
          <w:spacing w:val="5"/>
        </w:rPr>
        <w:t>(</w:t>
      </w:r>
      <w:r w:rsidRPr="00140258">
        <w:rPr>
          <w:rFonts w:ascii="標楷體" w:eastAsia="標楷體" w:hAnsi="標楷體"/>
          <w:spacing w:val="5"/>
        </w:rPr>
        <w:t>2)</w:t>
      </w:r>
      <w:r w:rsidRPr="00140258">
        <w:rPr>
          <w:rFonts w:ascii="標楷體" w:eastAsia="標楷體" w:hAnsi="標楷體"/>
          <w:spacing w:val="5"/>
        </w:rPr>
        <w:t>完成台灣臨床失智症學會舉辦之</w:t>
      </w:r>
      <w:r w:rsidRPr="00140258">
        <w:rPr>
          <w:rFonts w:ascii="標楷體" w:eastAsia="標楷體" w:hAnsi="標楷體" w:hint="eastAsia"/>
          <w:spacing w:val="5"/>
        </w:rPr>
        <w:t>CDR評量線上課程，並完成認證。(將於11月底提供</w:t>
      </w:r>
      <w:r w:rsidRPr="00140258">
        <w:rPr>
          <w:rFonts w:ascii="標楷體" w:eastAsia="標楷體" w:hAnsi="標楷體" w:hint="eastAsia"/>
          <w:spacing w:val="5"/>
        </w:rPr>
        <w:t>授</w:t>
      </w:r>
      <w:r w:rsidRPr="00140258">
        <w:rPr>
          <w:rFonts w:ascii="標楷體" w:eastAsia="標楷體" w:hAnsi="標楷體" w:hint="eastAsia"/>
          <w:spacing w:val="5"/>
        </w:rPr>
        <w:t>課</w:t>
      </w:r>
      <w:r w:rsidRPr="00140258">
        <w:rPr>
          <w:rFonts w:ascii="標楷體" w:eastAsia="標楷體" w:hAnsi="標楷體" w:hint="eastAsia"/>
          <w:spacing w:val="5"/>
        </w:rPr>
        <w:t>網頁</w:t>
      </w:r>
      <w:r w:rsidRPr="00140258">
        <w:rPr>
          <w:rFonts w:ascii="標楷體" w:eastAsia="標楷體" w:hAnsi="標楷體" w:hint="eastAsia"/>
          <w:spacing w:val="5"/>
        </w:rPr>
        <w:t>)</w:t>
      </w:r>
      <w:r w:rsidR="00C868DD" w:rsidRPr="00C868DD">
        <w:rPr>
          <w:rFonts w:ascii="標楷體" w:eastAsia="標楷體" w:hAnsi="標楷體"/>
          <w:spacing w:val="5"/>
        </w:rPr>
        <w:br/>
      </w:r>
      <w:r w:rsidR="00C868DD" w:rsidRPr="00C868DD">
        <w:rPr>
          <w:rFonts w:ascii="標楷體" w:eastAsia="標楷體" w:hAnsi="標楷體" w:cs="新細明體" w:hint="eastAsia"/>
          <w:spacing w:val="5"/>
        </w:rPr>
        <w:t>■</w:t>
      </w:r>
      <w:r w:rsidR="00C868DD" w:rsidRPr="00C868DD">
        <w:rPr>
          <w:rFonts w:ascii="標楷體" w:eastAsia="標楷體" w:hAnsi="標楷體"/>
          <w:spacing w:val="5"/>
        </w:rPr>
        <w:t>認領規則：</w:t>
      </w:r>
      <w:r w:rsidR="00C868DD" w:rsidRPr="00C868DD">
        <w:rPr>
          <w:rFonts w:ascii="標楷體" w:eastAsia="標楷體" w:hAnsi="標楷體" w:hint="eastAsia"/>
          <w:color w:val="FF0000"/>
          <w:spacing w:val="5"/>
        </w:rPr>
        <w:t>即日起</w:t>
      </w:r>
      <w:r w:rsidR="00C868DD" w:rsidRPr="00C868DD">
        <w:rPr>
          <w:rFonts w:ascii="標楷體" w:eastAsia="標楷體" w:hAnsi="標楷體"/>
          <w:color w:val="FF0000"/>
          <w:spacing w:val="5"/>
        </w:rPr>
        <w:t>進行認領(每縣市至多可3個醫院可認領) 。超過3個醫院認領的縣市之醫院，可協商或抽籤決定。最後沒有認領之縣市將由TDS徵召。</w:t>
      </w:r>
      <w:r w:rsidR="00C868DD" w:rsidRPr="00C868DD">
        <w:rPr>
          <w:rFonts w:ascii="標楷體" w:eastAsia="標楷體" w:hAnsi="標楷體" w:hint="eastAsia"/>
          <w:color w:val="FF0000"/>
          <w:spacing w:val="5"/>
        </w:rPr>
        <w:t>部分縣市個案數較少，如您所認列之地區個案已分配完將徵詢您的意見協助其他縣市計畫執行。</w:t>
      </w:r>
    </w:p>
    <w:p w14:paraId="29C3F8E4" w14:textId="77777777" w:rsidR="00C868DD" w:rsidRPr="00C868DD" w:rsidRDefault="00C868DD" w:rsidP="00C868DD">
      <w:pPr>
        <w:rPr>
          <w:rFonts w:ascii="標楷體" w:eastAsia="標楷體" w:hAnsi="標楷體"/>
          <w:color w:val="222222"/>
          <w:spacing w:val="5"/>
        </w:rPr>
      </w:pPr>
      <w:r w:rsidRPr="00C868DD">
        <w:rPr>
          <w:rFonts w:ascii="標楷體" w:eastAsia="標楷體" w:hAnsi="標楷體" w:cs="新細明體" w:hint="eastAsia"/>
          <w:spacing w:val="5"/>
        </w:rPr>
        <w:t>■</w:t>
      </w:r>
      <w:r w:rsidRPr="00C868DD">
        <w:rPr>
          <w:rFonts w:ascii="標楷體" w:eastAsia="標楷體" w:hAnsi="標楷體"/>
          <w:spacing w:val="5"/>
        </w:rPr>
        <w:t>執行費用: 醫師費2000元/案(已含交通費)，個管師費200元/案(已含交通費)，經費核銷由國衛院負責。</w:t>
      </w:r>
    </w:p>
    <w:p w14:paraId="5E3004FD" w14:textId="77777777" w:rsidR="00C868DD" w:rsidRPr="00C868DD" w:rsidRDefault="00C868DD" w:rsidP="00C868DD">
      <w:pPr>
        <w:rPr>
          <w:rFonts w:ascii="標楷體" w:eastAsia="標楷體" w:hAnsi="標楷體"/>
          <w:color w:val="222222"/>
          <w:spacing w:val="5"/>
        </w:rPr>
      </w:pPr>
      <w:r w:rsidRPr="00C868DD">
        <w:rPr>
          <w:rFonts w:ascii="標楷體" w:eastAsia="標楷體" w:hAnsi="標楷體" w:cs="新細明體" w:hint="eastAsia"/>
        </w:rPr>
        <w:t>■</w:t>
      </w:r>
      <w:r w:rsidRPr="00C868DD">
        <w:rPr>
          <w:rFonts w:ascii="標楷體" w:eastAsia="標楷體" w:hAnsi="標楷體"/>
          <w:spacing w:val="5"/>
        </w:rPr>
        <w:t>執行內容：學會根據貴單位填寫的縣市，</w:t>
      </w:r>
      <w:r w:rsidRPr="00C868DD">
        <w:rPr>
          <w:rFonts w:ascii="標楷體" w:eastAsia="標楷體" w:hAnsi="標楷體"/>
          <w:spacing w:val="5"/>
        </w:rPr>
        <w:br/>
        <w:t>提供計畫執行地址/名單給貴單位聯絡窗口，個管師聯繫醫師與家戶成員的時間，醫師去家戶執行CDR。</w:t>
      </w:r>
    </w:p>
    <w:p w14:paraId="733C46A8" w14:textId="61DA52BE" w:rsidR="00C868DD" w:rsidRPr="00C868DD" w:rsidRDefault="00C868DD" w:rsidP="00C868DD">
      <w:pPr>
        <w:rPr>
          <w:rFonts w:ascii="標楷體" w:eastAsia="標楷體" w:hAnsi="標楷體"/>
          <w:color w:val="222222"/>
          <w:spacing w:val="5"/>
        </w:rPr>
      </w:pPr>
      <w:r w:rsidRPr="00C868DD">
        <w:rPr>
          <w:rFonts w:ascii="標楷體" w:eastAsia="標楷體" w:hAnsi="標楷體" w:cs="新細明體" w:hint="eastAsia"/>
        </w:rPr>
        <w:t>■</w:t>
      </w:r>
      <w:r w:rsidRPr="00C868DD">
        <w:rPr>
          <w:rFonts w:ascii="標楷體" w:eastAsia="標楷體" w:hAnsi="標楷體"/>
          <w:spacing w:val="5"/>
        </w:rPr>
        <w:t>執行時間：今年起至</w:t>
      </w:r>
      <w:r w:rsidRPr="00C868DD">
        <w:rPr>
          <w:rFonts w:ascii="標楷體" w:eastAsia="標楷體" w:hAnsi="標楷體" w:hint="eastAsia"/>
          <w:spacing w:val="5"/>
        </w:rPr>
        <w:t>2</w:t>
      </w:r>
      <w:r w:rsidRPr="00C868DD">
        <w:rPr>
          <w:rFonts w:ascii="標楷體" w:eastAsia="標楷體" w:hAnsi="標楷體"/>
          <w:spacing w:val="5"/>
        </w:rPr>
        <w:t>02</w:t>
      </w:r>
      <w:r w:rsidRPr="00C868DD">
        <w:rPr>
          <w:rFonts w:ascii="標楷體" w:eastAsia="標楷體" w:hAnsi="標楷體" w:hint="eastAsia"/>
          <w:spacing w:val="5"/>
        </w:rPr>
        <w:t>2</w:t>
      </w:r>
      <w:r w:rsidRPr="00C868DD">
        <w:rPr>
          <w:rFonts w:ascii="標楷體" w:eastAsia="標楷體" w:hAnsi="標楷體"/>
          <w:spacing w:val="5"/>
        </w:rPr>
        <w:t>/3/31。  提醒: 務必報名以及參與TDS 舉辦之國衛院計畫家訪疾病分類診斷共識以及CDR評量認證線上課程。(將於11月底提供上課相關資訊)</w:t>
      </w:r>
    </w:p>
    <w:p w14:paraId="6A6F98AF" w14:textId="77777777" w:rsidR="00C868DD" w:rsidRPr="00C868DD" w:rsidRDefault="00C868DD" w:rsidP="00C868DD">
      <w:pPr>
        <w:rPr>
          <w:rFonts w:ascii="標楷體" w:eastAsia="標楷體" w:hAnsi="標楷體"/>
          <w:color w:val="222222"/>
          <w:spacing w:val="5"/>
        </w:rPr>
      </w:pPr>
    </w:p>
    <w:p w14:paraId="564162F1" w14:textId="77777777" w:rsidR="00C868DD" w:rsidRPr="00C868DD" w:rsidRDefault="00C868DD" w:rsidP="00C868DD">
      <w:pPr>
        <w:rPr>
          <w:rFonts w:ascii="標楷體" w:eastAsia="標楷體" w:hAnsi="標楷體"/>
          <w:color w:val="222222"/>
        </w:rPr>
      </w:pPr>
      <w:r w:rsidRPr="00C868DD">
        <w:rPr>
          <w:rFonts w:ascii="標楷體" w:eastAsia="標楷體" w:hAnsi="標楷體"/>
        </w:rPr>
        <w:t>如蒙惠允，請協助填寫下方表單，謝謝。</w:t>
      </w:r>
    </w:p>
    <w:p w14:paraId="257D8A93" w14:textId="77777777" w:rsidR="00C868DD" w:rsidRPr="00C868DD" w:rsidRDefault="00140258" w:rsidP="00C868DD">
      <w:pPr>
        <w:rPr>
          <w:rFonts w:ascii="標楷體" w:eastAsia="標楷體" w:hAnsi="標楷體"/>
          <w:color w:val="222222"/>
        </w:rPr>
      </w:pPr>
      <w:hyperlink r:id="rId4" w:tgtFrame="_blank" w:history="1">
        <w:r w:rsidR="00C868DD" w:rsidRPr="00C868DD">
          <w:rPr>
            <w:rFonts w:ascii="標楷體" w:eastAsia="標楷體" w:hAnsi="標楷體"/>
            <w:color w:val="1155CC"/>
            <w:u w:val="single"/>
          </w:rPr>
          <w:t>http://www.tds.org.tw/ap/news_view.aspx?bid=12&amp;sn=7c7d7dea-c94e-4413-b531-c213d33d73b9</w:t>
        </w:r>
      </w:hyperlink>
    </w:p>
    <w:p w14:paraId="0482B01B" w14:textId="317F3B98" w:rsidR="00C868DD" w:rsidRPr="00C868DD" w:rsidRDefault="00C868DD" w:rsidP="00C868DD">
      <w:pPr>
        <w:rPr>
          <w:rFonts w:ascii="標楷體" w:eastAsia="標楷體" w:hAnsi="標楷體"/>
          <w:color w:val="222222"/>
        </w:rPr>
      </w:pPr>
      <w:r w:rsidRPr="00C868DD">
        <w:rPr>
          <w:rFonts w:ascii="標楷體" w:eastAsia="標楷體" w:hAnsi="標楷體"/>
        </w:rPr>
        <w:t>---------------------------------------------------</w:t>
      </w:r>
    </w:p>
    <w:p w14:paraId="24AAAEC3" w14:textId="77777777" w:rsidR="00C868DD" w:rsidRPr="00C868DD" w:rsidRDefault="00C868DD" w:rsidP="00C868DD">
      <w:pPr>
        <w:rPr>
          <w:rFonts w:ascii="標楷體" w:eastAsia="標楷體" w:hAnsi="標楷體"/>
          <w:color w:val="222222"/>
          <w:spacing w:val="2"/>
        </w:rPr>
      </w:pPr>
      <w:r w:rsidRPr="00C868DD">
        <w:rPr>
          <w:rFonts w:ascii="標楷體" w:eastAsia="標楷體" w:hAnsi="標楷體"/>
          <w:color w:val="FF0000"/>
          <w:spacing w:val="2"/>
        </w:rPr>
        <w:t>國衛院全國社區失智症與失能流行病學調查計劃書簡介</w:t>
      </w:r>
    </w:p>
    <w:p w14:paraId="42FF3619" w14:textId="77777777" w:rsidR="00C868DD" w:rsidRPr="00C868DD" w:rsidRDefault="00C868DD" w:rsidP="00C868DD">
      <w:pPr>
        <w:rPr>
          <w:rFonts w:ascii="標楷體" w:eastAsia="標楷體" w:hAnsi="標楷體"/>
          <w:color w:val="222222"/>
          <w:spacing w:val="2"/>
        </w:rPr>
      </w:pPr>
    </w:p>
    <w:p w14:paraId="736DE4B6" w14:textId="38FF8A76" w:rsidR="00C868DD" w:rsidRPr="00C868DD" w:rsidRDefault="00C868DD" w:rsidP="00C868DD">
      <w:pPr>
        <w:rPr>
          <w:rFonts w:ascii="標楷體" w:eastAsia="標楷體" w:hAnsi="標楷體"/>
          <w:color w:val="222222"/>
          <w:spacing w:val="5"/>
        </w:rPr>
      </w:pPr>
      <w:r w:rsidRPr="00C868DD">
        <w:rPr>
          <w:rFonts w:ascii="標楷體" w:eastAsia="標楷體" w:hAnsi="標楷體"/>
          <w:spacing w:val="5"/>
        </w:rPr>
        <w:t>國家衛生研究院於2019年協助衛生福利部長期照顧司執行全國住宿式長照服務機構流行病學研究。在完成長照服務機構的研究調查後，為了達成失智症防治照護政策綱領暨行動方案2.0的工作項目，國家衛生研究院於在2020至2022年接續完成全國社區失智症與失能流行病學調查的家訪，希望透過本研究可以提供政府單位在制訂失智症與失能照護相關決策之參考依據。</w:t>
      </w:r>
      <w:r w:rsidRPr="00C868DD">
        <w:rPr>
          <w:rFonts w:ascii="標楷體" w:eastAsia="標楷體" w:hAnsi="標楷體"/>
          <w:spacing w:val="5"/>
        </w:rPr>
        <w:br/>
      </w:r>
      <w:r w:rsidRPr="00C868DD">
        <w:rPr>
          <w:rFonts w:ascii="標楷體" w:eastAsia="標楷體" w:hAnsi="標楷體"/>
          <w:spacing w:val="5"/>
        </w:rPr>
        <w:br/>
      </w:r>
      <w:r w:rsidRPr="00C868DD">
        <w:rPr>
          <w:rFonts w:ascii="標楷體" w:eastAsia="標楷體" w:hAnsi="標楷體"/>
          <w:spacing w:val="5"/>
        </w:rPr>
        <w:lastRenderedPageBreak/>
        <w:t>調查區域範圍及對象</w:t>
      </w:r>
      <w:r w:rsidRPr="00C868DD">
        <w:rPr>
          <w:rFonts w:ascii="標楷體" w:eastAsia="標楷體" w:hAnsi="標楷體"/>
          <w:spacing w:val="5"/>
        </w:rPr>
        <w:br/>
        <w:t>1.調查區域範圍：本研究為全國社區失智症與失能流行病學調查，調查範圍包含「新北市」、「臺北市」、「桃園市」、「臺中市」、「臺南市」、「宜蘭縣」、「新竹縣」、「苗栗縣」、「彰化縣」、「南投縣」、「雲林縣」、「嘉義縣」、「屏東縣」、「臺東縣」、「花蓮縣」、「澎湖縣」、「基隆市」、「新竹市」、「嘉義市」、「金門縣」、「連江縣」。</w:t>
      </w:r>
      <w:r w:rsidRPr="00C868DD">
        <w:rPr>
          <w:rFonts w:ascii="標楷體" w:eastAsia="標楷體" w:hAnsi="標楷體"/>
          <w:spacing w:val="5"/>
        </w:rPr>
        <w:br/>
      </w:r>
      <w:r w:rsidRPr="00C868DD">
        <w:rPr>
          <w:rFonts w:ascii="標楷體" w:eastAsia="標楷體" w:hAnsi="標楷體"/>
          <w:spacing w:val="5"/>
        </w:rPr>
        <w:br/>
        <w:t>2.調查對象：本研究為針對65歲以上老年人口，根據內政部2020年4月30日在臺灣地區設有戶籍之人口為抽樣母體，由調查方法的預計完訪數估計2020年將調查6,392位、2021年將調查6,392位，兩年總計將調查12,784位。</w:t>
      </w:r>
      <w:r w:rsidRPr="00C868DD">
        <w:rPr>
          <w:rFonts w:ascii="標楷體" w:eastAsia="標楷體" w:hAnsi="標楷體"/>
          <w:spacing w:val="5"/>
        </w:rPr>
        <w:br/>
      </w:r>
      <w:r w:rsidRPr="00C868DD">
        <w:rPr>
          <w:rFonts w:ascii="標楷體" w:eastAsia="標楷體" w:hAnsi="標楷體"/>
          <w:spacing w:val="5"/>
        </w:rPr>
        <w:br/>
        <w:t>調查方法</w:t>
      </w:r>
      <w:r w:rsidRPr="00C868DD">
        <w:rPr>
          <w:rFonts w:ascii="標楷體" w:eastAsia="標楷體" w:hAnsi="標楷體"/>
          <w:spacing w:val="5"/>
        </w:rPr>
        <w:br/>
        <w:t>1.本調查為針對全國社區65歲以上老年人口進行失智症與失能流行病學調查，除了全國的盛行率調查外，亦希望了解全國22縣市的各別盛行率。</w:t>
      </w:r>
      <w:r w:rsidRPr="00C868DD">
        <w:rPr>
          <w:rFonts w:ascii="標楷體" w:eastAsia="標楷體" w:hAnsi="標楷體"/>
          <w:spacing w:val="5"/>
        </w:rPr>
        <w:br/>
      </w:r>
      <w:r w:rsidRPr="00C868DD">
        <w:rPr>
          <w:rFonts w:ascii="標楷體" w:eastAsia="標楷體" w:hAnsi="標楷體"/>
          <w:spacing w:val="5"/>
        </w:rPr>
        <w:br/>
        <w:t>2.失智症診斷：</w:t>
      </w:r>
      <w:r w:rsidRPr="00C868DD">
        <w:rPr>
          <w:rFonts w:ascii="標楷體" w:eastAsia="標楷體" w:hAnsi="標楷體"/>
          <w:spacing w:val="5"/>
        </w:rPr>
        <w:br/>
        <w:t>(1)第一階段：訪員於個案住家以簡短智能狀態測驗(MMSE)進行評估，若個案識字且MMSE分數小於25分，或個案不識字且MMSE分數小於14分，則進入第二階段評估。</w:t>
      </w:r>
      <w:r w:rsidRPr="00C868DD">
        <w:rPr>
          <w:rFonts w:ascii="標楷體" w:eastAsia="標楷體" w:hAnsi="標楷體"/>
          <w:spacing w:val="5"/>
        </w:rPr>
        <w:br/>
      </w:r>
      <w:r w:rsidRPr="00C868DD">
        <w:rPr>
          <w:rFonts w:ascii="標楷體" w:eastAsia="標楷體" w:hAnsi="標楷體"/>
          <w:spacing w:val="5"/>
        </w:rPr>
        <w:br/>
        <w:t>(2)第二階段：由臺灣臨床失智症學會(TDS)受過標準化訓練的臨床醫師協助，針對第一階段疑似個案以「TDS國衛院計畫家訪疾病分類診斷共識以及CDR評量課程」為基礎，進行失智症疾病分類以及失智症分級。</w:t>
      </w:r>
    </w:p>
    <w:p w14:paraId="59EC033E" w14:textId="77777777" w:rsidR="00C868DD" w:rsidRPr="00C868DD" w:rsidRDefault="00C868DD" w:rsidP="00C868DD">
      <w:pPr>
        <w:rPr>
          <w:rFonts w:ascii="標楷體" w:eastAsia="標楷體" w:hAnsi="標楷體"/>
          <w:color w:val="222222"/>
        </w:rPr>
      </w:pPr>
    </w:p>
    <w:p w14:paraId="501D3ACD" w14:textId="69ADDEB6" w:rsidR="00C868DD" w:rsidRPr="00C868DD" w:rsidRDefault="00C868DD" w:rsidP="00C868DD">
      <w:pPr>
        <w:rPr>
          <w:rFonts w:ascii="標楷體" w:eastAsia="標楷體" w:hAnsi="標楷體"/>
          <w:color w:val="222222"/>
        </w:rPr>
      </w:pPr>
      <w:r w:rsidRPr="00C868DD">
        <w:rPr>
          <w:rFonts w:ascii="標楷體" w:eastAsia="標楷體" w:hAnsi="標楷體"/>
        </w:rPr>
        <w:t>台灣臨床失智症學會 秘書處敬啟</w:t>
      </w:r>
    </w:p>
    <w:p w14:paraId="012E3EFD" w14:textId="77777777" w:rsidR="00322961" w:rsidRPr="00C868DD" w:rsidRDefault="00140258">
      <w:pPr>
        <w:rPr>
          <w:szCs w:val="24"/>
        </w:rPr>
      </w:pPr>
    </w:p>
    <w:sectPr w:rsidR="00322961" w:rsidRPr="00C868DD">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8DD"/>
    <w:rsid w:val="00140258"/>
    <w:rsid w:val="005B694E"/>
    <w:rsid w:val="00C00D42"/>
    <w:rsid w:val="00C868DD"/>
    <w:rsid w:val="00D95F4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00A632"/>
  <w15:chartTrackingRefBased/>
  <w15:docId w15:val="{3AA3B8BF-BA0D-4C83-BA0A-1AAF3A9BE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1131525">
      <w:bodyDiv w:val="1"/>
      <w:marLeft w:val="0"/>
      <w:marRight w:val="0"/>
      <w:marTop w:val="0"/>
      <w:marBottom w:val="0"/>
      <w:divBdr>
        <w:top w:val="none" w:sz="0" w:space="0" w:color="auto"/>
        <w:left w:val="none" w:sz="0" w:space="0" w:color="auto"/>
        <w:bottom w:val="none" w:sz="0" w:space="0" w:color="auto"/>
        <w:right w:val="none" w:sz="0" w:space="0" w:color="auto"/>
      </w:divBdr>
      <w:divsChild>
        <w:div w:id="1443112214">
          <w:marLeft w:val="0"/>
          <w:marRight w:val="0"/>
          <w:marTop w:val="0"/>
          <w:marBottom w:val="0"/>
          <w:divBdr>
            <w:top w:val="none" w:sz="0" w:space="0" w:color="auto"/>
            <w:left w:val="none" w:sz="0" w:space="0" w:color="auto"/>
            <w:bottom w:val="none" w:sz="0" w:space="0" w:color="auto"/>
            <w:right w:val="none" w:sz="0" w:space="0" w:color="auto"/>
          </w:divBdr>
        </w:div>
        <w:div w:id="763917582">
          <w:marLeft w:val="0"/>
          <w:marRight w:val="0"/>
          <w:marTop w:val="0"/>
          <w:marBottom w:val="0"/>
          <w:divBdr>
            <w:top w:val="none" w:sz="0" w:space="0" w:color="auto"/>
            <w:left w:val="none" w:sz="0" w:space="0" w:color="auto"/>
            <w:bottom w:val="none" w:sz="0" w:space="0" w:color="auto"/>
            <w:right w:val="none" w:sz="0" w:space="0" w:color="auto"/>
          </w:divBdr>
          <w:divsChild>
            <w:div w:id="1316110398">
              <w:marLeft w:val="0"/>
              <w:marRight w:val="0"/>
              <w:marTop w:val="0"/>
              <w:marBottom w:val="0"/>
              <w:divBdr>
                <w:top w:val="none" w:sz="0" w:space="0" w:color="auto"/>
                <w:left w:val="none" w:sz="0" w:space="0" w:color="auto"/>
                <w:bottom w:val="none" w:sz="0" w:space="0" w:color="auto"/>
                <w:right w:val="none" w:sz="0" w:space="0" w:color="auto"/>
              </w:divBdr>
            </w:div>
            <w:div w:id="813064766">
              <w:marLeft w:val="0"/>
              <w:marRight w:val="0"/>
              <w:marTop w:val="0"/>
              <w:marBottom w:val="0"/>
              <w:divBdr>
                <w:top w:val="none" w:sz="0" w:space="0" w:color="auto"/>
                <w:left w:val="none" w:sz="0" w:space="0" w:color="auto"/>
                <w:bottom w:val="none" w:sz="0" w:space="0" w:color="auto"/>
                <w:right w:val="none" w:sz="0" w:space="0" w:color="auto"/>
              </w:divBdr>
            </w:div>
            <w:div w:id="443115792">
              <w:marLeft w:val="0"/>
              <w:marRight w:val="0"/>
              <w:marTop w:val="0"/>
              <w:marBottom w:val="0"/>
              <w:divBdr>
                <w:top w:val="none" w:sz="0" w:space="0" w:color="auto"/>
                <w:left w:val="none" w:sz="0" w:space="0" w:color="auto"/>
                <w:bottom w:val="none" w:sz="0" w:space="0" w:color="auto"/>
                <w:right w:val="none" w:sz="0" w:space="0" w:color="auto"/>
              </w:divBdr>
            </w:div>
            <w:div w:id="1015763086">
              <w:marLeft w:val="0"/>
              <w:marRight w:val="0"/>
              <w:marTop w:val="0"/>
              <w:marBottom w:val="0"/>
              <w:divBdr>
                <w:top w:val="none" w:sz="0" w:space="0" w:color="auto"/>
                <w:left w:val="none" w:sz="0" w:space="0" w:color="auto"/>
                <w:bottom w:val="none" w:sz="0" w:space="0" w:color="auto"/>
                <w:right w:val="none" w:sz="0" w:space="0" w:color="auto"/>
              </w:divBdr>
            </w:div>
            <w:div w:id="2109151799">
              <w:marLeft w:val="0"/>
              <w:marRight w:val="0"/>
              <w:marTop w:val="0"/>
              <w:marBottom w:val="0"/>
              <w:divBdr>
                <w:top w:val="none" w:sz="0" w:space="0" w:color="auto"/>
                <w:left w:val="none" w:sz="0" w:space="0" w:color="auto"/>
                <w:bottom w:val="none" w:sz="0" w:space="0" w:color="auto"/>
                <w:right w:val="none" w:sz="0" w:space="0" w:color="auto"/>
              </w:divBdr>
            </w:div>
            <w:div w:id="817842709">
              <w:marLeft w:val="0"/>
              <w:marRight w:val="0"/>
              <w:marTop w:val="0"/>
              <w:marBottom w:val="0"/>
              <w:divBdr>
                <w:top w:val="none" w:sz="0" w:space="0" w:color="auto"/>
                <w:left w:val="none" w:sz="0" w:space="0" w:color="auto"/>
                <w:bottom w:val="none" w:sz="0" w:space="0" w:color="auto"/>
                <w:right w:val="none" w:sz="0" w:space="0" w:color="auto"/>
              </w:divBdr>
            </w:div>
            <w:div w:id="1738816245">
              <w:marLeft w:val="0"/>
              <w:marRight w:val="0"/>
              <w:marTop w:val="0"/>
              <w:marBottom w:val="0"/>
              <w:divBdr>
                <w:top w:val="none" w:sz="0" w:space="0" w:color="auto"/>
                <w:left w:val="none" w:sz="0" w:space="0" w:color="auto"/>
                <w:bottom w:val="none" w:sz="0" w:space="0" w:color="auto"/>
                <w:right w:val="none" w:sz="0" w:space="0" w:color="auto"/>
              </w:divBdr>
              <w:divsChild>
                <w:div w:id="846678484">
                  <w:marLeft w:val="0"/>
                  <w:marRight w:val="0"/>
                  <w:marTop w:val="0"/>
                  <w:marBottom w:val="0"/>
                  <w:divBdr>
                    <w:top w:val="none" w:sz="0" w:space="0" w:color="auto"/>
                    <w:left w:val="none" w:sz="0" w:space="0" w:color="auto"/>
                    <w:bottom w:val="none" w:sz="0" w:space="0" w:color="auto"/>
                    <w:right w:val="none" w:sz="0" w:space="0" w:color="auto"/>
                  </w:divBdr>
                </w:div>
                <w:div w:id="2002270675">
                  <w:marLeft w:val="0"/>
                  <w:marRight w:val="0"/>
                  <w:marTop w:val="0"/>
                  <w:marBottom w:val="0"/>
                  <w:divBdr>
                    <w:top w:val="none" w:sz="0" w:space="0" w:color="auto"/>
                    <w:left w:val="none" w:sz="0" w:space="0" w:color="auto"/>
                    <w:bottom w:val="none" w:sz="0" w:space="0" w:color="auto"/>
                    <w:right w:val="none" w:sz="0" w:space="0" w:color="auto"/>
                  </w:divBdr>
                </w:div>
                <w:div w:id="1760783829">
                  <w:marLeft w:val="0"/>
                  <w:marRight w:val="0"/>
                  <w:marTop w:val="0"/>
                  <w:marBottom w:val="0"/>
                  <w:divBdr>
                    <w:top w:val="none" w:sz="0" w:space="0" w:color="auto"/>
                    <w:left w:val="none" w:sz="0" w:space="0" w:color="auto"/>
                    <w:bottom w:val="none" w:sz="0" w:space="0" w:color="auto"/>
                    <w:right w:val="none" w:sz="0" w:space="0" w:color="auto"/>
                  </w:divBdr>
                </w:div>
                <w:div w:id="875779406">
                  <w:marLeft w:val="0"/>
                  <w:marRight w:val="0"/>
                  <w:marTop w:val="0"/>
                  <w:marBottom w:val="0"/>
                  <w:divBdr>
                    <w:top w:val="none" w:sz="0" w:space="0" w:color="auto"/>
                    <w:left w:val="none" w:sz="0" w:space="0" w:color="auto"/>
                    <w:bottom w:val="none" w:sz="0" w:space="0" w:color="auto"/>
                    <w:right w:val="none" w:sz="0" w:space="0" w:color="auto"/>
                  </w:divBdr>
                </w:div>
                <w:div w:id="750351316">
                  <w:marLeft w:val="0"/>
                  <w:marRight w:val="0"/>
                  <w:marTop w:val="0"/>
                  <w:marBottom w:val="0"/>
                  <w:divBdr>
                    <w:top w:val="none" w:sz="0" w:space="0" w:color="auto"/>
                    <w:left w:val="none" w:sz="0" w:space="0" w:color="auto"/>
                    <w:bottom w:val="none" w:sz="0" w:space="0" w:color="auto"/>
                    <w:right w:val="none" w:sz="0" w:space="0" w:color="auto"/>
                  </w:divBdr>
                </w:div>
                <w:div w:id="946233186">
                  <w:marLeft w:val="0"/>
                  <w:marRight w:val="0"/>
                  <w:marTop w:val="0"/>
                  <w:marBottom w:val="0"/>
                  <w:divBdr>
                    <w:top w:val="none" w:sz="0" w:space="0" w:color="auto"/>
                    <w:left w:val="none" w:sz="0" w:space="0" w:color="auto"/>
                    <w:bottom w:val="none" w:sz="0" w:space="0" w:color="auto"/>
                    <w:right w:val="none" w:sz="0" w:space="0" w:color="auto"/>
                  </w:divBdr>
                </w:div>
                <w:div w:id="1566642537">
                  <w:marLeft w:val="0"/>
                  <w:marRight w:val="0"/>
                  <w:marTop w:val="0"/>
                  <w:marBottom w:val="0"/>
                  <w:divBdr>
                    <w:top w:val="none" w:sz="0" w:space="0" w:color="auto"/>
                    <w:left w:val="none" w:sz="0" w:space="0" w:color="auto"/>
                    <w:bottom w:val="none" w:sz="0" w:space="0" w:color="auto"/>
                    <w:right w:val="none" w:sz="0" w:space="0" w:color="auto"/>
                  </w:divBdr>
                </w:div>
              </w:divsChild>
            </w:div>
            <w:div w:id="1687710678">
              <w:marLeft w:val="0"/>
              <w:marRight w:val="0"/>
              <w:marTop w:val="0"/>
              <w:marBottom w:val="0"/>
              <w:divBdr>
                <w:top w:val="none" w:sz="0" w:space="0" w:color="auto"/>
                <w:left w:val="none" w:sz="0" w:space="0" w:color="auto"/>
                <w:bottom w:val="none" w:sz="0" w:space="0" w:color="auto"/>
                <w:right w:val="none" w:sz="0" w:space="0" w:color="auto"/>
              </w:divBdr>
            </w:div>
            <w:div w:id="610013876">
              <w:marLeft w:val="0"/>
              <w:marRight w:val="0"/>
              <w:marTop w:val="0"/>
              <w:marBottom w:val="0"/>
              <w:divBdr>
                <w:top w:val="none" w:sz="0" w:space="0" w:color="auto"/>
                <w:left w:val="none" w:sz="0" w:space="0" w:color="auto"/>
                <w:bottom w:val="none" w:sz="0" w:space="0" w:color="auto"/>
                <w:right w:val="none" w:sz="0" w:space="0" w:color="auto"/>
              </w:divBdr>
            </w:div>
            <w:div w:id="525605754">
              <w:marLeft w:val="0"/>
              <w:marRight w:val="0"/>
              <w:marTop w:val="0"/>
              <w:marBottom w:val="0"/>
              <w:divBdr>
                <w:top w:val="none" w:sz="0" w:space="0" w:color="auto"/>
                <w:left w:val="none" w:sz="0" w:space="0" w:color="auto"/>
                <w:bottom w:val="none" w:sz="0" w:space="0" w:color="auto"/>
                <w:right w:val="none" w:sz="0" w:space="0" w:color="auto"/>
              </w:divBdr>
            </w:div>
            <w:div w:id="964967067">
              <w:marLeft w:val="0"/>
              <w:marRight w:val="0"/>
              <w:marTop w:val="0"/>
              <w:marBottom w:val="0"/>
              <w:divBdr>
                <w:top w:val="none" w:sz="0" w:space="0" w:color="auto"/>
                <w:left w:val="none" w:sz="0" w:space="0" w:color="auto"/>
                <w:bottom w:val="none" w:sz="0" w:space="0" w:color="auto"/>
                <w:right w:val="none" w:sz="0" w:space="0" w:color="auto"/>
              </w:divBdr>
            </w:div>
            <w:div w:id="1789160947">
              <w:marLeft w:val="0"/>
              <w:marRight w:val="0"/>
              <w:marTop w:val="0"/>
              <w:marBottom w:val="0"/>
              <w:divBdr>
                <w:top w:val="none" w:sz="0" w:space="0" w:color="auto"/>
                <w:left w:val="none" w:sz="0" w:space="0" w:color="auto"/>
                <w:bottom w:val="none" w:sz="0" w:space="0" w:color="auto"/>
                <w:right w:val="none" w:sz="0" w:space="0" w:color="auto"/>
              </w:divBdr>
            </w:div>
            <w:div w:id="1535457587">
              <w:marLeft w:val="0"/>
              <w:marRight w:val="0"/>
              <w:marTop w:val="0"/>
              <w:marBottom w:val="0"/>
              <w:divBdr>
                <w:top w:val="none" w:sz="0" w:space="0" w:color="auto"/>
                <w:left w:val="none" w:sz="0" w:space="0" w:color="auto"/>
                <w:bottom w:val="none" w:sz="0" w:space="0" w:color="auto"/>
                <w:right w:val="none" w:sz="0" w:space="0" w:color="auto"/>
              </w:divBdr>
              <w:divsChild>
                <w:div w:id="922564907">
                  <w:marLeft w:val="0"/>
                  <w:marRight w:val="0"/>
                  <w:marTop w:val="0"/>
                  <w:marBottom w:val="0"/>
                  <w:divBdr>
                    <w:top w:val="none" w:sz="0" w:space="0" w:color="auto"/>
                    <w:left w:val="none" w:sz="0" w:space="0" w:color="auto"/>
                    <w:bottom w:val="none" w:sz="0" w:space="0" w:color="auto"/>
                    <w:right w:val="none" w:sz="0" w:space="0" w:color="auto"/>
                  </w:divBdr>
                </w:div>
                <w:div w:id="960383216">
                  <w:marLeft w:val="0"/>
                  <w:marRight w:val="0"/>
                  <w:marTop w:val="0"/>
                  <w:marBottom w:val="0"/>
                  <w:divBdr>
                    <w:top w:val="none" w:sz="0" w:space="0" w:color="auto"/>
                    <w:left w:val="none" w:sz="0" w:space="0" w:color="auto"/>
                    <w:bottom w:val="none" w:sz="0" w:space="0" w:color="auto"/>
                    <w:right w:val="none" w:sz="0" w:space="0" w:color="auto"/>
                  </w:divBdr>
                </w:div>
                <w:div w:id="1202135865">
                  <w:marLeft w:val="0"/>
                  <w:marRight w:val="0"/>
                  <w:marTop w:val="0"/>
                  <w:marBottom w:val="0"/>
                  <w:divBdr>
                    <w:top w:val="none" w:sz="0" w:space="0" w:color="auto"/>
                    <w:left w:val="none" w:sz="0" w:space="0" w:color="auto"/>
                    <w:bottom w:val="none" w:sz="0" w:space="0" w:color="auto"/>
                    <w:right w:val="none" w:sz="0" w:space="0" w:color="auto"/>
                  </w:divBdr>
                </w:div>
              </w:divsChild>
            </w:div>
            <w:div w:id="1892230464">
              <w:marLeft w:val="0"/>
              <w:marRight w:val="0"/>
              <w:marTop w:val="0"/>
              <w:marBottom w:val="0"/>
              <w:divBdr>
                <w:top w:val="none" w:sz="0" w:space="0" w:color="auto"/>
                <w:left w:val="none" w:sz="0" w:space="0" w:color="auto"/>
                <w:bottom w:val="none" w:sz="0" w:space="0" w:color="auto"/>
                <w:right w:val="none" w:sz="0" w:space="0" w:color="auto"/>
              </w:divBdr>
            </w:div>
          </w:divsChild>
        </w:div>
        <w:div w:id="1412389541">
          <w:marLeft w:val="0"/>
          <w:marRight w:val="0"/>
          <w:marTop w:val="0"/>
          <w:marBottom w:val="0"/>
          <w:divBdr>
            <w:top w:val="none" w:sz="0" w:space="0" w:color="auto"/>
            <w:left w:val="none" w:sz="0" w:space="0" w:color="auto"/>
            <w:bottom w:val="none" w:sz="0" w:space="0" w:color="auto"/>
            <w:right w:val="none" w:sz="0" w:space="0" w:color="auto"/>
          </w:divBdr>
        </w:div>
        <w:div w:id="12537678">
          <w:marLeft w:val="0"/>
          <w:marRight w:val="0"/>
          <w:marTop w:val="0"/>
          <w:marBottom w:val="0"/>
          <w:divBdr>
            <w:top w:val="none" w:sz="0" w:space="0" w:color="auto"/>
            <w:left w:val="none" w:sz="0" w:space="0" w:color="auto"/>
            <w:bottom w:val="none" w:sz="0" w:space="0" w:color="auto"/>
            <w:right w:val="none" w:sz="0" w:space="0" w:color="auto"/>
          </w:divBdr>
          <w:divsChild>
            <w:div w:id="411898274">
              <w:marLeft w:val="0"/>
              <w:marRight w:val="0"/>
              <w:marTop w:val="0"/>
              <w:marBottom w:val="0"/>
              <w:divBdr>
                <w:top w:val="none" w:sz="0" w:space="0" w:color="auto"/>
                <w:left w:val="none" w:sz="0" w:space="0" w:color="auto"/>
                <w:bottom w:val="none" w:sz="0" w:space="0" w:color="auto"/>
                <w:right w:val="none" w:sz="0" w:space="0" w:color="auto"/>
              </w:divBdr>
              <w:divsChild>
                <w:div w:id="1509363557">
                  <w:marLeft w:val="0"/>
                  <w:marRight w:val="0"/>
                  <w:marTop w:val="0"/>
                  <w:marBottom w:val="0"/>
                  <w:divBdr>
                    <w:top w:val="none" w:sz="0" w:space="0" w:color="auto"/>
                    <w:left w:val="none" w:sz="0" w:space="0" w:color="auto"/>
                    <w:bottom w:val="none" w:sz="0" w:space="0" w:color="auto"/>
                    <w:right w:val="none" w:sz="0" w:space="0" w:color="auto"/>
                  </w:divBdr>
                  <w:divsChild>
                    <w:div w:id="71197425">
                      <w:marLeft w:val="0"/>
                      <w:marRight w:val="0"/>
                      <w:marTop w:val="0"/>
                      <w:marBottom w:val="0"/>
                      <w:divBdr>
                        <w:top w:val="none" w:sz="0" w:space="0" w:color="auto"/>
                        <w:left w:val="none" w:sz="0" w:space="0" w:color="auto"/>
                        <w:bottom w:val="none" w:sz="0" w:space="0" w:color="auto"/>
                        <w:right w:val="none" w:sz="0" w:space="0" w:color="auto"/>
                      </w:divBdr>
                      <w:divsChild>
                        <w:div w:id="1880622994">
                          <w:marLeft w:val="0"/>
                          <w:marRight w:val="0"/>
                          <w:marTop w:val="0"/>
                          <w:marBottom w:val="0"/>
                          <w:divBdr>
                            <w:top w:val="none" w:sz="0" w:space="0" w:color="auto"/>
                            <w:left w:val="none" w:sz="0" w:space="0" w:color="auto"/>
                            <w:bottom w:val="none" w:sz="0" w:space="0" w:color="auto"/>
                            <w:right w:val="none" w:sz="0" w:space="0" w:color="auto"/>
                          </w:divBdr>
                          <w:divsChild>
                            <w:div w:id="1866169309">
                              <w:marLeft w:val="0"/>
                              <w:marRight w:val="0"/>
                              <w:marTop w:val="0"/>
                              <w:marBottom w:val="0"/>
                              <w:divBdr>
                                <w:top w:val="none" w:sz="0" w:space="0" w:color="auto"/>
                                <w:left w:val="none" w:sz="0" w:space="0" w:color="auto"/>
                                <w:bottom w:val="none" w:sz="0" w:space="0" w:color="auto"/>
                                <w:right w:val="none" w:sz="0" w:space="0" w:color="auto"/>
                              </w:divBdr>
                              <w:divsChild>
                                <w:div w:id="1364746963">
                                  <w:marLeft w:val="0"/>
                                  <w:marRight w:val="0"/>
                                  <w:marTop w:val="0"/>
                                  <w:marBottom w:val="0"/>
                                  <w:divBdr>
                                    <w:top w:val="none" w:sz="0" w:space="0" w:color="auto"/>
                                    <w:left w:val="none" w:sz="0" w:space="0" w:color="auto"/>
                                    <w:bottom w:val="none" w:sz="0" w:space="0" w:color="auto"/>
                                    <w:right w:val="none" w:sz="0" w:space="0" w:color="auto"/>
                                  </w:divBdr>
                                  <w:divsChild>
                                    <w:div w:id="97677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51219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tds20061015-dot-yamm-track.appspot.com/Redirect?ukey=1FezS13YshxoVhb8A0H8NOieP1WnWQtDQEaiXWRaqkSo-450863428&amp;key=YAMMID-74376172&amp;link=http%3A%2F%2Fwww.tds.org.tw%2Fap%2Fnews_view.aspx%3Fbid%3D12%26sn%3D7c7d7dea-c94e-4413-b531-c213d33d73b9"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276</Words>
  <Characters>1574</Characters>
  <Application>Microsoft Office Word</Application>
  <DocSecurity>0</DocSecurity>
  <Lines>13</Lines>
  <Paragraphs>3</Paragraphs>
  <ScaleCrop>false</ScaleCrop>
  <Company/>
  <LinksUpToDate>false</LinksUpToDate>
  <CharactersWithSpaces>1847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台灣臨床試驗學會 TDS</dc:creator>
  <cp:keywords/>
  <dc:description/>
  <cp:lastModifiedBy>台灣臨床試驗學會 TDS</cp:lastModifiedBy>
  <cp:revision>2</cp:revision>
  <dcterms:created xsi:type="dcterms:W3CDTF">2021-11-11T10:38:00Z</dcterms:created>
  <dcterms:modified xsi:type="dcterms:W3CDTF">2021-11-12T07:39:00Z</dcterms:modified>
</cp:coreProperties>
</file>